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CDD42" w14:textId="1F1E0BE6" w:rsidR="00EC1274" w:rsidRPr="00967CFB" w:rsidRDefault="00EC1274" w:rsidP="00EC1274">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0050004B" w:rsidRPr="0050004B">
        <w:rPr>
          <w:rFonts w:ascii="Arial" w:hAnsi="Arial" w:cs="Arial"/>
          <w:b/>
          <w:bCs/>
          <w:sz w:val="28"/>
        </w:rPr>
        <w:t>R1-2410217</w:t>
      </w:r>
    </w:p>
    <w:p w14:paraId="140F88EB" w14:textId="4D4B86F4" w:rsidR="007E6DDB" w:rsidRPr="00B40CFC" w:rsidRDefault="00EC1274" w:rsidP="00932ED0">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Orlando</w:t>
      </w:r>
      <w:r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Pr="00240786">
        <w:rPr>
          <w:rFonts w:ascii="Arial" w:hAnsi="Arial" w:cs="Arial"/>
          <w:b/>
          <w:sz w:val="28"/>
          <w:szCs w:val="28"/>
          <w:lang w:val="en-US" w:eastAsia="zh-CN"/>
        </w:rPr>
        <w:t>, 1</w:t>
      </w:r>
      <w:r>
        <w:rPr>
          <w:rFonts w:ascii="Arial" w:hAnsi="Arial" w:cs="Arial"/>
          <w:b/>
          <w:sz w:val="28"/>
          <w:szCs w:val="28"/>
          <w:lang w:val="en-US" w:eastAsia="zh-CN"/>
        </w:rPr>
        <w:t>8</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w:t>
      </w:r>
      <w:r>
        <w:rPr>
          <w:rFonts w:ascii="Arial" w:hAnsi="Arial" w:cs="Arial"/>
          <w:b/>
          <w:sz w:val="28"/>
          <w:szCs w:val="28"/>
          <w:lang w:val="en-US" w:eastAsia="zh-CN"/>
        </w:rPr>
        <w:t>22</w:t>
      </w:r>
      <w:r w:rsidRPr="00850720">
        <w:rPr>
          <w:rFonts w:ascii="Arial" w:hAnsi="Arial" w:cs="Arial"/>
          <w:b/>
          <w:sz w:val="28"/>
          <w:szCs w:val="28"/>
          <w:vertAlign w:val="superscript"/>
          <w:lang w:val="en-US" w:eastAsia="zh-CN"/>
        </w:rPr>
        <w:t>nd</w:t>
      </w:r>
      <w:r>
        <w:rPr>
          <w:rFonts w:ascii="Arial" w:hAnsi="Arial" w:cs="Arial"/>
          <w:b/>
          <w:sz w:val="28"/>
          <w:szCs w:val="28"/>
          <w:lang w:val="en-US" w:eastAsia="zh-CN"/>
        </w:rPr>
        <w:t xml:space="preserve"> November</w:t>
      </w:r>
      <w:r w:rsidRPr="00240786">
        <w:rPr>
          <w:rFonts w:ascii="Arial" w:hAnsi="Arial" w:cs="Arial"/>
          <w:b/>
          <w:sz w:val="28"/>
          <w:szCs w:val="28"/>
          <w:lang w:val="en-US" w:eastAsia="zh-CN"/>
        </w:rPr>
        <w:t xml:space="preserve">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864468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404CE" w:rsidRPr="004404CE">
        <w:rPr>
          <w:b/>
          <w:bCs/>
          <w:color w:val="000000"/>
          <w:lang w:val="en-US"/>
        </w:rPr>
        <w:t>Support for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2C6029FE"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3C26BC">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3C26BC">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0839248D" w:rsidR="00CE0A78" w:rsidRDefault="005A625B" w:rsidP="00B7066B">
      <w:pPr>
        <w:jc w:val="both"/>
      </w:pPr>
      <w:r>
        <w:t xml:space="preserve">The following agreements were made in </w:t>
      </w:r>
      <w:r w:rsidR="00982D62">
        <w:t>RAN1#11</w:t>
      </w:r>
      <w:r w:rsidR="00932ED0">
        <w:t>8</w:t>
      </w:r>
      <w:r w:rsidR="006F2056">
        <w:t>bis</w:t>
      </w:r>
      <w:r w:rsidR="00982D62">
        <w:t xml:space="preserve"> meeting</w:t>
      </w:r>
      <w:r>
        <w:t xml:space="preserve"> </w:t>
      </w:r>
      <w:r w:rsidR="00A96F99">
        <w:fldChar w:fldCharType="begin"/>
      </w:r>
      <w:r w:rsidR="00A96F99">
        <w:instrText xml:space="preserve"> REF _Ref162954407 \r \h </w:instrText>
      </w:r>
      <w:r w:rsidR="00A96F99">
        <w:fldChar w:fldCharType="separate"/>
      </w:r>
      <w:r w:rsidR="003C26BC">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78FBD5F8" w14:textId="77777777" w:rsidR="009919EA" w:rsidRPr="00744F06" w:rsidRDefault="009919EA" w:rsidP="009919EA">
            <w:pPr>
              <w:rPr>
                <w:rFonts w:eastAsia="DengXian"/>
                <w:highlight w:val="green"/>
                <w:lang w:val="en-US" w:eastAsia="zh-CN"/>
              </w:rPr>
            </w:pPr>
            <w:r w:rsidRPr="00744F06">
              <w:rPr>
                <w:rFonts w:eastAsia="DengXian" w:hint="eastAsia"/>
                <w:highlight w:val="green"/>
                <w:lang w:val="en-US" w:eastAsia="zh-CN"/>
              </w:rPr>
              <w:t>Agreement</w:t>
            </w:r>
          </w:p>
          <w:p w14:paraId="1567E086" w14:textId="77777777" w:rsidR="00737970" w:rsidRDefault="00737970" w:rsidP="00737970">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4D1D2ADA" w14:textId="77777777" w:rsidR="00737970" w:rsidRPr="00D80D2D" w:rsidRDefault="00737970" w:rsidP="00737970">
            <w:pPr>
              <w:pStyle w:val="ListParagraph"/>
              <w:widowControl w:val="0"/>
              <w:numPr>
                <w:ilvl w:val="0"/>
                <w:numId w:val="32"/>
              </w:numPr>
              <w:tabs>
                <w:tab w:val="left" w:pos="0"/>
                <w:tab w:val="left" w:pos="720"/>
              </w:tabs>
              <w:suppressAutoHyphens/>
              <w:spacing w:after="0" w:line="276" w:lineRule="auto"/>
              <w:contextualSpacing w:val="0"/>
              <w:jc w:val="both"/>
            </w:pPr>
            <w:r>
              <w:rPr>
                <w:rFonts w:eastAsia="DengXian"/>
                <w:lang w:eastAsia="zh-CN"/>
              </w:rPr>
              <w:t>W</w:t>
            </w:r>
            <w:r>
              <w:rPr>
                <w:rFonts w:eastAsia="DengXian" w:hint="eastAsia"/>
                <w:lang w:eastAsia="zh-CN"/>
              </w:rPr>
              <w:t xml:space="preserve">hen applicable,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7301D38B" w14:textId="77777777" w:rsidR="00737970" w:rsidRPr="002742D5" w:rsidRDefault="00737970" w:rsidP="00737970">
            <w:pPr>
              <w:pStyle w:val="ListParagraph"/>
              <w:widowControl w:val="0"/>
              <w:numPr>
                <w:ilvl w:val="1"/>
                <w:numId w:val="32"/>
              </w:numPr>
              <w:tabs>
                <w:tab w:val="left" w:pos="0"/>
                <w:tab w:val="left" w:pos="720"/>
              </w:tabs>
              <w:suppressAutoHyphens/>
              <w:spacing w:after="0" w:line="276" w:lineRule="auto"/>
              <w:contextualSpacing w:val="0"/>
              <w:jc w:val="both"/>
            </w:pPr>
            <w:r>
              <w:rPr>
                <w:rFonts w:eastAsia="DengXian" w:hint="eastAsia"/>
                <w:lang w:eastAsia="zh-CN"/>
              </w:rPr>
              <w:t xml:space="preserve">FFS: details on how to associate quality indicator to timing </w:t>
            </w:r>
            <w:r>
              <w:rPr>
                <w:rFonts w:eastAsia="DengXian"/>
                <w:lang w:eastAsia="zh-CN"/>
              </w:rPr>
              <w:t>information</w:t>
            </w:r>
          </w:p>
          <w:p w14:paraId="281D8059" w14:textId="77777777" w:rsidR="00737970" w:rsidRDefault="00737970" w:rsidP="00737970">
            <w:pPr>
              <w:rPr>
                <w:rFonts w:eastAsia="DengXian"/>
                <w:lang w:eastAsia="zh-CN"/>
              </w:rPr>
            </w:pPr>
          </w:p>
          <w:p w14:paraId="0ED18BC2" w14:textId="77777777" w:rsidR="00737970" w:rsidRPr="00E0468A" w:rsidRDefault="00737970" w:rsidP="00737970">
            <w:pPr>
              <w:rPr>
                <w:rFonts w:eastAsia="DengXian"/>
                <w:lang w:eastAsia="zh-CN"/>
              </w:rPr>
            </w:pPr>
            <w:r w:rsidRPr="00C65CE3">
              <w:rPr>
                <w:rFonts w:eastAsia="DengXian" w:hint="eastAsia"/>
                <w:highlight w:val="yellow"/>
                <w:lang w:eastAsia="zh-CN"/>
              </w:rPr>
              <w:t>Conclusion</w:t>
            </w:r>
          </w:p>
          <w:p w14:paraId="17EB5883" w14:textId="77777777" w:rsidR="00737970" w:rsidRDefault="00737970" w:rsidP="00737970">
            <w:pPr>
              <w:rPr>
                <w:u w:val="single"/>
              </w:rPr>
            </w:pPr>
            <w:r>
              <w:t>For training data collection of Case 1, in terms of D</w:t>
            </w:r>
            <w:r w:rsidRPr="00553208">
              <w:t>L PRS configuration for collecting training data, both options are</w:t>
            </w:r>
            <w:r>
              <w:rPr>
                <w:rFonts w:eastAsia="DengXian" w:hint="eastAsia"/>
                <w:lang w:eastAsia="zh-CN"/>
              </w:rPr>
              <w:t xml:space="preserve"> feasible by </w:t>
            </w:r>
            <w:r w:rsidRPr="00553208">
              <w:t>using legacy mechanisms:</w:t>
            </w:r>
          </w:p>
          <w:p w14:paraId="3AAF548F" w14:textId="77777777" w:rsidR="00737970" w:rsidRDefault="00737970" w:rsidP="00737970">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34BC9EA" w14:textId="77777777" w:rsidR="00737970" w:rsidRDefault="00737970" w:rsidP="00737970">
            <w:pPr>
              <w:ind w:left="567"/>
            </w:pPr>
            <w:r>
              <w:lastRenderedPageBreak/>
              <w:t xml:space="preserve">Option B. </w:t>
            </w:r>
            <w:r>
              <w:tab/>
              <w:t>(LMF initiated) LMF determines the DL PRS configuration for training data collection and provides the assistance data to the UE.</w:t>
            </w:r>
          </w:p>
          <w:p w14:paraId="3D8DF94A" w14:textId="77777777" w:rsidR="00737970" w:rsidRDefault="00737970" w:rsidP="00737970">
            <w:r>
              <w:t xml:space="preserve">Note: the UE can be a PRU and/or a </w:t>
            </w:r>
            <w:proofErr w:type="gramStart"/>
            <w:r>
              <w:t>Non-PRU UE</w:t>
            </w:r>
            <w:proofErr w:type="gramEnd"/>
            <w:r>
              <w:t>.</w:t>
            </w:r>
          </w:p>
          <w:p w14:paraId="0AA1594A" w14:textId="77777777" w:rsidR="00737970" w:rsidRDefault="00737970" w:rsidP="00737970">
            <w:pPr>
              <w:rPr>
                <w:rFonts w:eastAsia="DengXian"/>
                <w:lang w:eastAsia="zh-CN"/>
              </w:rPr>
            </w:pPr>
            <w:r w:rsidRPr="002C70B7">
              <w:t xml:space="preserve">Note: as in existing specification, the DL PRS configurations in the assistance data from LMF to UE are based on DL PRS configuration coordinated between LMF and </w:t>
            </w:r>
            <w:proofErr w:type="spellStart"/>
            <w:r w:rsidRPr="002C70B7">
              <w:t>gNB</w:t>
            </w:r>
            <w:proofErr w:type="spellEnd"/>
            <w:r w:rsidRPr="002C70B7">
              <w:t>.</w:t>
            </w:r>
          </w:p>
          <w:p w14:paraId="53B93168" w14:textId="77777777" w:rsidR="00C65CE3" w:rsidRDefault="00C65CE3" w:rsidP="004B358B"/>
          <w:p w14:paraId="6125F2BE" w14:textId="2ACE9F12" w:rsidR="004B358B" w:rsidRDefault="004B358B" w:rsidP="004B358B">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07DE56CB" w14:textId="77777777" w:rsidR="004B358B" w:rsidRDefault="004B358B" w:rsidP="004B358B">
            <w:pPr>
              <w:pStyle w:val="ListParagraph"/>
              <w:widowControl w:val="0"/>
              <w:numPr>
                <w:ilvl w:val="0"/>
                <w:numId w:val="17"/>
              </w:numPr>
              <w:tabs>
                <w:tab w:val="left" w:pos="0"/>
                <w:tab w:val="left" w:pos="720"/>
              </w:tabs>
              <w:suppressAutoHyphens/>
              <w:spacing w:after="0"/>
              <w:contextualSpacing w:val="0"/>
              <w:jc w:val="both"/>
            </w:pPr>
            <w:r w:rsidRPr="001D1718">
              <w:t xml:space="preserve">(Mandatory) </w:t>
            </w:r>
            <w:r>
              <w:t xml:space="preserve">Channel </w:t>
            </w:r>
            <w:proofErr w:type="gramStart"/>
            <w:r>
              <w:t>measurement;</w:t>
            </w:r>
            <w:proofErr w:type="gramEnd"/>
            <w:r>
              <w:t xml:space="preserve"> </w:t>
            </w:r>
          </w:p>
          <w:p w14:paraId="77B44F35" w14:textId="77777777" w:rsidR="004B358B" w:rsidRDefault="004B358B" w:rsidP="004B358B">
            <w:pPr>
              <w:pStyle w:val="ListParagraph"/>
              <w:widowControl w:val="0"/>
              <w:numPr>
                <w:ilvl w:val="0"/>
                <w:numId w:val="17"/>
              </w:numPr>
              <w:tabs>
                <w:tab w:val="left" w:pos="0"/>
                <w:tab w:val="left" w:pos="720"/>
              </w:tabs>
              <w:suppressAutoHyphens/>
              <w:spacing w:after="0"/>
              <w:contextualSpacing w:val="0"/>
              <w:jc w:val="both"/>
            </w:pPr>
            <w:r w:rsidRPr="001D1718">
              <w:t xml:space="preserve">(Optional) </w:t>
            </w:r>
            <w:r>
              <w:t xml:space="preserve">Quality of the channel </w:t>
            </w:r>
            <w:proofErr w:type="gramStart"/>
            <w:r>
              <w:t>measurement;</w:t>
            </w:r>
            <w:proofErr w:type="gramEnd"/>
            <w:r>
              <w:t xml:space="preserve"> </w:t>
            </w:r>
          </w:p>
          <w:p w14:paraId="5B4F9D90" w14:textId="77777777" w:rsidR="004B358B" w:rsidRPr="001D1718" w:rsidRDefault="004B358B" w:rsidP="004B358B">
            <w:pPr>
              <w:pStyle w:val="ListParagraph"/>
              <w:widowControl w:val="0"/>
              <w:numPr>
                <w:ilvl w:val="1"/>
                <w:numId w:val="17"/>
              </w:numPr>
              <w:tabs>
                <w:tab w:val="left" w:pos="0"/>
                <w:tab w:val="left" w:pos="720"/>
                <w:tab w:val="left" w:pos="1440"/>
              </w:tabs>
              <w:suppressAutoHyphens/>
              <w:spacing w:after="0"/>
              <w:contextualSpacing w:val="0"/>
              <w:jc w:val="both"/>
            </w:pPr>
            <w:r w:rsidRPr="001D1718">
              <w:t>FFS: details of the quality</w:t>
            </w:r>
          </w:p>
          <w:p w14:paraId="185C7A27" w14:textId="77777777" w:rsidR="004B358B" w:rsidRDefault="004B358B" w:rsidP="004B358B">
            <w:pPr>
              <w:pStyle w:val="ListParagraph"/>
              <w:widowControl w:val="0"/>
              <w:numPr>
                <w:ilvl w:val="0"/>
                <w:numId w:val="17"/>
              </w:numPr>
              <w:tabs>
                <w:tab w:val="left" w:pos="0"/>
                <w:tab w:val="left" w:pos="720"/>
              </w:tabs>
              <w:suppressAutoHyphens/>
              <w:spacing w:after="0"/>
              <w:contextualSpacing w:val="0"/>
              <w:jc w:val="both"/>
            </w:pPr>
            <w:r w:rsidRPr="001D1718">
              <w:t xml:space="preserve">(Mandatory) </w:t>
            </w:r>
            <w:r>
              <w:t>Time stamp of the channel measurement.</w:t>
            </w:r>
          </w:p>
          <w:p w14:paraId="2EC6DFAB" w14:textId="77777777" w:rsidR="004B358B" w:rsidRDefault="004B358B" w:rsidP="004B358B">
            <w:pPr>
              <w:rPr>
                <w:rFonts w:eastAsia="DengXian"/>
                <w:lang w:eastAsia="zh-CN"/>
              </w:rPr>
            </w:pPr>
          </w:p>
          <w:p w14:paraId="6143ED4C" w14:textId="77777777" w:rsidR="004B358B" w:rsidRPr="00242291" w:rsidRDefault="004B358B" w:rsidP="004B358B">
            <w:r>
              <w:t>From RA</w:t>
            </w:r>
            <w:r w:rsidRPr="00242291">
              <w:t>N1 perspective, when timing information is reported for Rel-19</w:t>
            </w:r>
            <w:r w:rsidRPr="00242291">
              <w:rPr>
                <w:rFonts w:eastAsia="DengXian" w:hint="eastAsia"/>
                <w:lang w:eastAsia="zh-CN"/>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05F35C5F" w14:textId="77777777" w:rsidR="004B358B" w:rsidRPr="00242291"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w:t>
            </w:r>
            <w:r w:rsidRPr="00242291">
              <w:rPr>
                <w:rFonts w:eastAsia="DengXian"/>
              </w:rPr>
              <w:t>Mandatory</w:t>
            </w:r>
            <w:r w:rsidRPr="00242291">
              <w:t>)</w:t>
            </w:r>
            <w:r w:rsidRPr="00242291">
              <w:rPr>
                <w:rFonts w:eastAsia="DengXian" w:hint="eastAsia"/>
              </w:rPr>
              <w:t xml:space="preserve"> </w:t>
            </w:r>
            <w:r w:rsidRPr="00242291">
              <w:t xml:space="preserve">timing </w:t>
            </w:r>
            <w:proofErr w:type="gramStart"/>
            <w:r w:rsidRPr="00242291">
              <w:t>information;</w:t>
            </w:r>
            <w:proofErr w:type="gramEnd"/>
            <w:r w:rsidRPr="00242291">
              <w:t xml:space="preserve"> </w:t>
            </w:r>
          </w:p>
          <w:p w14:paraId="642B613B" w14:textId="77777777" w:rsidR="004B358B" w:rsidRPr="00242291"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 xml:space="preserve">(Optional) Quality of the timing </w:t>
            </w:r>
            <w:proofErr w:type="gramStart"/>
            <w:r w:rsidRPr="00242291">
              <w:t>information;</w:t>
            </w:r>
            <w:proofErr w:type="gramEnd"/>
          </w:p>
          <w:p w14:paraId="6F3E0187" w14:textId="77777777" w:rsidR="004B358B" w:rsidRPr="00242291" w:rsidRDefault="004B358B" w:rsidP="004B358B">
            <w:pPr>
              <w:pStyle w:val="ListParagraph"/>
              <w:widowControl w:val="0"/>
              <w:numPr>
                <w:ilvl w:val="1"/>
                <w:numId w:val="17"/>
              </w:numPr>
              <w:tabs>
                <w:tab w:val="left" w:pos="0"/>
                <w:tab w:val="left" w:pos="720"/>
                <w:tab w:val="left" w:pos="1440"/>
              </w:tabs>
              <w:suppressAutoHyphens/>
              <w:spacing w:after="0"/>
              <w:contextualSpacing w:val="0"/>
              <w:jc w:val="both"/>
            </w:pPr>
            <w:r w:rsidRPr="00242291">
              <w:t>Existing IE “Timing Measurement Quality” can be reused.</w:t>
            </w:r>
          </w:p>
          <w:p w14:paraId="38CD83DE" w14:textId="77777777" w:rsidR="004B358B" w:rsidRPr="00242291"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(Mandatory) Time stamp.</w:t>
            </w:r>
          </w:p>
          <w:p w14:paraId="3F489DCF" w14:textId="77777777" w:rsidR="004B358B" w:rsidRPr="00242291" w:rsidRDefault="004B358B" w:rsidP="004B358B">
            <w:r w:rsidRPr="00242291">
              <w:t>FFS: LOS/NLOS indicator.</w:t>
            </w:r>
          </w:p>
          <w:p w14:paraId="5FDAF6F3" w14:textId="77777777" w:rsidR="004B358B" w:rsidRPr="00242291" w:rsidRDefault="004B358B" w:rsidP="004B358B">
            <w:pPr>
              <w:rPr>
                <w:rFonts w:eastAsia="DengXian"/>
                <w:lang w:eastAsia="zh-CN"/>
              </w:rPr>
            </w:pPr>
            <w:r w:rsidRPr="00242291">
              <w:t>Note: The final decision of “mandatory” or “optional” presence of each field is up to RAN3.</w:t>
            </w:r>
          </w:p>
          <w:p w14:paraId="034BEC26" w14:textId="77777777" w:rsidR="004B358B" w:rsidRDefault="004B358B" w:rsidP="004B358B">
            <w:pPr>
              <w:rPr>
                <w:rFonts w:eastAsia="DengXian"/>
                <w:color w:val="FF0000"/>
                <w:lang w:eastAsia="zh-CN"/>
              </w:rPr>
            </w:pPr>
          </w:p>
          <w:p w14:paraId="65B620A5" w14:textId="77777777" w:rsidR="004B358B" w:rsidRPr="00242291" w:rsidRDefault="004B358B" w:rsidP="004B358B">
            <w:r>
              <w:t xml:space="preserve">For AI/ML positioning Case 1, regarding the assistance data provided from LMF to UE, for ensuring consistency between training and inference, </w:t>
            </w:r>
          </w:p>
          <w:p w14:paraId="170F46F7" w14:textId="77777777" w:rsidR="004B358B" w:rsidRPr="00242291"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for each of the existing assistance data IE of UE-based DL-TDOA and</w:t>
            </w:r>
            <w:r>
              <w:rPr>
                <w:rFonts w:eastAsia="DengXian" w:hint="eastAsia"/>
                <w:lang w:eastAsia="zh-CN"/>
              </w:rPr>
              <w:t xml:space="preserve">/or </w:t>
            </w:r>
            <w:r w:rsidRPr="00242291">
              <w:t>UE-based DL-</w:t>
            </w:r>
            <w:proofErr w:type="spellStart"/>
            <w:r w:rsidRPr="00242291">
              <w:t>AoD</w:t>
            </w:r>
            <w:proofErr w:type="spellEnd"/>
            <w:r w:rsidRPr="00242291">
              <w:t>,</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w:t>
            </w:r>
            <w:proofErr w:type="gramStart"/>
            <w:r>
              <w:rPr>
                <w:rFonts w:eastAsia="DengXian" w:hint="eastAsia"/>
                <w:lang w:eastAsia="zh-CN"/>
              </w:rPr>
              <w:t>other</w:t>
            </w:r>
            <w:r w:rsidRPr="00242291">
              <w:t>;</w:t>
            </w:r>
            <w:proofErr w:type="gramEnd"/>
            <w:r w:rsidRPr="00242291">
              <w:t xml:space="preserve"> </w:t>
            </w:r>
          </w:p>
          <w:p w14:paraId="40223039" w14:textId="77777777" w:rsidR="004B358B" w:rsidRPr="00242291"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Companies can provide inputs on further enhancements of existing assistance data, including new information</w:t>
            </w:r>
          </w:p>
          <w:p w14:paraId="7AA0C0E9" w14:textId="77777777" w:rsidR="004B358B" w:rsidRDefault="004B358B" w:rsidP="004B358B">
            <w:pPr>
              <w:pStyle w:val="ListParagraph"/>
              <w:widowControl w:val="0"/>
              <w:numPr>
                <w:ilvl w:val="0"/>
                <w:numId w:val="17"/>
              </w:numPr>
              <w:tabs>
                <w:tab w:val="left" w:pos="0"/>
                <w:tab w:val="left" w:pos="720"/>
              </w:tabs>
              <w:suppressAutoHyphens/>
              <w:spacing w:after="0"/>
              <w:contextualSpacing w:val="0"/>
              <w:jc w:val="both"/>
            </w:pPr>
            <w:r w:rsidRPr="00242291">
              <w:t>Note: this does not mean that training and inference phases are mentioned in assistance data.</w:t>
            </w:r>
          </w:p>
          <w:p w14:paraId="6093D9DB" w14:textId="77777777" w:rsidR="00C65CE3" w:rsidRPr="00242291" w:rsidRDefault="00C65CE3" w:rsidP="00C65CE3">
            <w:pPr>
              <w:pStyle w:val="ListParagraph"/>
              <w:widowControl w:val="0"/>
              <w:tabs>
                <w:tab w:val="left" w:pos="0"/>
                <w:tab w:val="left" w:pos="720"/>
              </w:tabs>
              <w:suppressAutoHyphens/>
              <w:spacing w:after="0"/>
              <w:contextualSpacing w:val="0"/>
              <w:jc w:val="both"/>
            </w:pPr>
          </w:p>
          <w:p w14:paraId="0415B26B" w14:textId="77777777" w:rsidR="004B358B" w:rsidRDefault="004B358B" w:rsidP="004B358B">
            <w:pPr>
              <w:rPr>
                <w:rFonts w:eastAsia="DengXian"/>
                <w:lang w:eastAsia="zh-C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p w14:paraId="71B3E68D" w14:textId="77777777" w:rsidR="00982D62" w:rsidRPr="00C65CE3" w:rsidRDefault="00982D62" w:rsidP="00C65CE3">
            <w:pPr>
              <w:tabs>
                <w:tab w:val="left" w:pos="0"/>
              </w:tabs>
              <w:suppressAutoHyphens/>
              <w:spacing w:line="276" w:lineRule="auto"/>
            </w:pPr>
          </w:p>
        </w:tc>
      </w:tr>
    </w:tbl>
    <w:p w14:paraId="7CDCEA3D" w14:textId="77777777" w:rsidR="00982D62" w:rsidRDefault="00982D62"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7FA50427" w:rsidR="00A327AD" w:rsidRPr="00B7066B" w:rsidRDefault="001E659E" w:rsidP="00A327AD">
      <w:pPr>
        <w:keepNext/>
        <w:spacing w:after="0"/>
        <w:jc w:val="both"/>
      </w:pPr>
      <w:r>
        <w:t>A</w:t>
      </w:r>
      <w:r w:rsidR="00A327AD" w:rsidRPr="00B7066B">
        <w:t xml:space="preserve"> general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3C26BC">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3C26BC">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3C26BC">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lastRenderedPageBreak/>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5FEC88C8" w:rsidR="00A327AD" w:rsidRDefault="00A327AD" w:rsidP="00A327AD">
      <w:pPr>
        <w:pStyle w:val="Caption"/>
        <w:jc w:val="center"/>
      </w:pPr>
      <w:bookmarkStart w:id="3" w:name="_Ref158797839"/>
      <w:r>
        <w:t xml:space="preserve">Figure </w:t>
      </w:r>
      <w:fldSimple w:instr=" SEQ Figure \* ARABIC ">
        <w:r w:rsidR="003C26BC">
          <w:rPr>
            <w:noProof/>
          </w:rPr>
          <w:t>1</w:t>
        </w:r>
      </w:fldSimple>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3C26BC">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0B964343"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w:t>
      </w:r>
      <w:r w:rsidR="000B586C">
        <w:t>, such as</w:t>
      </w:r>
      <w:r w:rsidR="002F662A">
        <w:t xml:space="preserve"> the amplitude, phase, and delay</w:t>
      </w:r>
      <w:r w:rsidR="00FF1265">
        <w:t xml:space="preserve">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066E3E18" w:rsidR="00FF1265" w:rsidRDefault="00FF1265" w:rsidP="00FF1265">
      <w:pPr>
        <w:pStyle w:val="Caption"/>
      </w:pPr>
      <w:bookmarkStart w:id="4" w:name="_Ref158871841"/>
      <w:bookmarkStart w:id="5" w:name="_Toc181969055"/>
      <w:r>
        <w:t xml:space="preserve">Proposal </w:t>
      </w:r>
      <w:fldSimple w:instr=" SEQ Proposal \* ARABIC ">
        <w:r w:rsidR="000B22BF">
          <w:rPr>
            <w:noProof/>
          </w:rPr>
          <w:t>1</w:t>
        </w:r>
      </w:fldSimple>
      <w:r>
        <w:t xml:space="preserve">: </w:t>
      </w:r>
      <w:r w:rsidR="002F662A">
        <w:t xml:space="preserve">For data collection,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w:t>
      </w:r>
      <w:r w:rsidRPr="00FD1A7D">
        <w:lastRenderedPageBreak/>
        <w:t xml:space="preserve">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74F4B0ED" w:rsidR="00FD1A7D" w:rsidRDefault="00FD1A7D" w:rsidP="00FD1A7D">
      <w:pPr>
        <w:pStyle w:val="Caption"/>
        <w:jc w:val="center"/>
        <w:rPr>
          <w:bCs/>
          <w:sz w:val="24"/>
          <w:szCs w:val="24"/>
          <w:lang w:val="en-US"/>
        </w:rPr>
      </w:pPr>
      <w:r>
        <w:t xml:space="preserve">Figure </w:t>
      </w:r>
      <w:fldSimple w:instr=" SEQ Figure \* ARABIC ">
        <w:r w:rsidR="003C26BC">
          <w:rPr>
            <w:noProof/>
          </w:rPr>
          <w:t>2</w:t>
        </w:r>
      </w:fldSimple>
      <w:r>
        <w:t>: Illustration</w:t>
      </w:r>
      <w:r w:rsidRPr="00931635">
        <w:t xml:space="preserve"> of data collection for AI-based positioning in DL (left) and in UL (right)</w:t>
      </w:r>
    </w:p>
    <w:p w14:paraId="2306F396" w14:textId="7105C340" w:rsidR="00965C41" w:rsidRDefault="00965C41" w:rsidP="00965C41">
      <w:pPr>
        <w:pStyle w:val="3GPPText"/>
      </w:pPr>
      <w:r>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r w:rsidR="0034446D">
        <w:t>report size</w:t>
      </w:r>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5D308B04" w:rsidR="0086174F" w:rsidRDefault="0086174F" w:rsidP="0086174F">
      <w:pPr>
        <w:pStyle w:val="Caption"/>
      </w:pPr>
      <w:bookmarkStart w:id="6" w:name="_Toc181969056"/>
      <w:r>
        <w:t xml:space="preserve">Proposal </w:t>
      </w:r>
      <w:fldSimple w:instr=" SEQ Proposal \* ARABIC ">
        <w:r w:rsidR="000B22BF">
          <w:rPr>
            <w:noProof/>
          </w:rPr>
          <w:t>2</w:t>
        </w:r>
      </w:fldSimple>
      <w:r>
        <w:t xml:space="preserve">: Support configurable CIR measurement report (e.g., report size, measurement window size) </w:t>
      </w:r>
      <w:proofErr w:type="gramStart"/>
      <w:r>
        <w:t>in an effort to</w:t>
      </w:r>
      <w:proofErr w:type="gramEnd"/>
      <w:r>
        <w:t xml:space="preserve"> reduce the signalling overhead.</w:t>
      </w:r>
      <w:bookmarkEnd w:id="6"/>
    </w:p>
    <w:p w14:paraId="62B152AD" w14:textId="1038D954"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3C26BC">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3C26BC">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1BF158E5" w:rsidR="00C61C77" w:rsidRDefault="00C61C77" w:rsidP="00D176E9">
      <w:pPr>
        <w:pStyle w:val="Caption"/>
        <w:rPr>
          <w:lang w:val="en-US"/>
        </w:rPr>
      </w:pPr>
      <w:bookmarkStart w:id="7" w:name="_Toc181969057"/>
      <w:r>
        <w:t xml:space="preserve">Proposal </w:t>
      </w:r>
      <w:fldSimple w:instr=" SEQ Proposal \* ARABIC ">
        <w:r w:rsidR="000B22BF">
          <w:rPr>
            <w:noProof/>
          </w:rPr>
          <w:t>3</w:t>
        </w:r>
      </w:fldSimple>
      <w:r>
        <w:t xml:space="preserve">: </w:t>
      </w:r>
      <w:r w:rsidR="00C67996">
        <w:t xml:space="preserve">The </w:t>
      </w:r>
      <w:r w:rsidR="00CA1A39">
        <w:t xml:space="preserve">association of </w:t>
      </w:r>
      <w:r w:rsidR="00C67996">
        <w:t>part A and part B in the collected data sample</w:t>
      </w:r>
      <w:r w:rsidR="0072048B">
        <w:t xml:space="preserve"> (for training data collection of AI/ML based positioning)</w:t>
      </w:r>
      <w:r w:rsidR="00C67996">
        <w:t xml:space="preserve"> </w:t>
      </w:r>
      <w:r w:rsidR="00CA1A39">
        <w:t xml:space="preserve">can be based on timing information </w:t>
      </w:r>
      <w:r w:rsidR="0028353A">
        <w:t xml:space="preserve">(e.g., UTC time) </w:t>
      </w:r>
      <w:r w:rsidR="00CA1A39">
        <w:t>or location information</w:t>
      </w:r>
      <w:r w:rsidR="00C67996">
        <w:t>.</w:t>
      </w:r>
      <w:bookmarkEnd w:id="7"/>
      <w:r w:rsidR="00C67996">
        <w:t xml:space="preserve"> </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w:t>
      </w:r>
      <w:proofErr w:type="gramStart"/>
      <w:r>
        <w:rPr>
          <w:lang w:val="en-US"/>
        </w:rPr>
        <w:t>first priority</w:t>
      </w:r>
      <w:proofErr w:type="gramEnd"/>
      <w:r>
        <w:rPr>
          <w:lang w:val="en-US"/>
        </w:rPr>
        <w:t xml:space="preserve">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w:t>
      </w:r>
      <w:r w:rsidR="00B82229">
        <w:rPr>
          <w:lang w:val="en-US"/>
        </w:rPr>
        <w:lastRenderedPageBreak/>
        <w:t xml:space="preserve">updated, the AI/ML model can be provided to the UE for AI/ML UE-side model or gNB for AI/ML gNB-side model. Subsequently, the UE or gNB performs AI/ML model inference. </w:t>
      </w:r>
    </w:p>
    <w:p w14:paraId="6F54872A" w14:textId="290E6F7F" w:rsidR="00B82229" w:rsidRDefault="00B82229" w:rsidP="00B82229">
      <w:pPr>
        <w:pStyle w:val="Caption"/>
        <w:rPr>
          <w:lang w:val="en-US"/>
        </w:rPr>
      </w:pPr>
      <w:bookmarkStart w:id="8" w:name="_Toc181969058"/>
      <w:r>
        <w:t xml:space="preserve">Proposal </w:t>
      </w:r>
      <w:fldSimple w:instr=" SEQ Proposal \* ARABIC ">
        <w:r w:rsidR="000B22BF">
          <w:rPr>
            <w:noProof/>
          </w:rPr>
          <w:t>4</w:t>
        </w:r>
      </w:fldSimple>
      <w:r>
        <w:t xml:space="preserve">: </w:t>
      </w:r>
      <w:r w:rsidRPr="00383043">
        <w:t xml:space="preserve">Support model transfer operation </w:t>
      </w:r>
      <w:r>
        <w:t xml:space="preserve">from server node (e.g., LMF) to UE/gNB </w:t>
      </w:r>
      <w:r w:rsidRPr="00383043">
        <w:t>to support AI/ML-assisted positioning</w:t>
      </w:r>
      <w:r>
        <w:t>.</w:t>
      </w:r>
      <w:bookmarkEnd w:id="8"/>
    </w:p>
    <w:p w14:paraId="18D2568A" w14:textId="70FC95CE" w:rsidR="00B82229" w:rsidRDefault="00B82229" w:rsidP="00B82229">
      <w:pPr>
        <w:jc w:val="both"/>
      </w:pPr>
      <w:r>
        <w:rPr>
          <w:lang w:val="en-US"/>
        </w:rPr>
        <w:t xml:space="preserve">The AI/ML model being transferred shall have a predefined structure and the model parameters. A complex structure can be provided in the case when high positioning accuracy is required </w:t>
      </w:r>
      <w:proofErr w:type="gramStart"/>
      <w:r>
        <w:rPr>
          <w:lang w:val="en-US"/>
        </w:rPr>
        <w:t>and also</w:t>
      </w:r>
      <w:proofErr w:type="gramEnd"/>
      <w:r>
        <w:rPr>
          <w:lang w:val="en-US"/>
        </w:rPr>
        <w:t xml:space="preserve">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522EEB27" w14:textId="386E21B4" w:rsidR="00B82229" w:rsidRPr="00AB0784" w:rsidRDefault="00B82229" w:rsidP="00192073">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6D0019EC" w14:textId="20BA30BE" w:rsidR="00B82229" w:rsidRDefault="00B82229" w:rsidP="00B82229">
      <w:pPr>
        <w:pStyle w:val="Caption"/>
        <w:rPr>
          <w:lang w:val="en-US"/>
        </w:rPr>
      </w:pPr>
      <w:bookmarkStart w:id="9" w:name="_Toc181969059"/>
      <w:r>
        <w:t xml:space="preserve">Proposal </w:t>
      </w:r>
      <w:fldSimple w:instr=" SEQ Proposal \* ARABIC ">
        <w:r w:rsidR="000B22BF">
          <w:rPr>
            <w:noProof/>
          </w:rPr>
          <w:t>5</w:t>
        </w:r>
      </w:fldSimple>
      <w:r>
        <w:t xml:space="preserve">: </w:t>
      </w:r>
      <w:r w:rsidRPr="00A93742">
        <w:t xml:space="preserve">Define the AI/ML model structure and parameters </w:t>
      </w:r>
      <w:r>
        <w:t xml:space="preserve">for model transfer </w:t>
      </w:r>
      <w:r w:rsidRPr="00A93742">
        <w:t>to support AI/ML-assisted positioning</w:t>
      </w:r>
      <w:r>
        <w:t>.</w:t>
      </w:r>
      <w:bookmarkEnd w:id="9"/>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22B9DDF0"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 by producing several agreements</w:t>
      </w:r>
      <w:r w:rsidRPr="00E51387">
        <w:rPr>
          <w:lang w:val="en-US"/>
        </w:rPr>
        <w:t xml:space="preserve"> in RAN1</w:t>
      </w:r>
      <w:r>
        <w:rPr>
          <w:lang w:val="en-US"/>
        </w:rPr>
        <w:t xml:space="preserve"> #</w:t>
      </w:r>
      <w:r w:rsidRPr="00E51387">
        <w:rPr>
          <w:lang w:val="en-US"/>
        </w:rPr>
        <w:t>116 meeting</w:t>
      </w:r>
      <w:r w:rsidR="006F3928">
        <w:rPr>
          <w:lang w:val="en-US"/>
        </w:rPr>
        <w:t xml:space="preserve"> </w:t>
      </w:r>
      <w:r w:rsidR="006F3928">
        <w:rPr>
          <w:lang w:val="en-US"/>
        </w:rPr>
        <w:fldChar w:fldCharType="begin"/>
      </w:r>
      <w:r w:rsidR="006F3928">
        <w:rPr>
          <w:lang w:val="en-US"/>
        </w:rPr>
        <w:instrText xml:space="preserve"> REF _Ref165976247 \r \h </w:instrText>
      </w:r>
      <w:r w:rsidR="006F3928">
        <w:rPr>
          <w:lang w:val="en-US"/>
        </w:rPr>
      </w:r>
      <w:r w:rsidR="006F3928">
        <w:rPr>
          <w:lang w:val="en-US"/>
        </w:rPr>
        <w:fldChar w:fldCharType="separate"/>
      </w:r>
      <w:r w:rsidR="003C26BC">
        <w:rPr>
          <w:lang w:val="en-US"/>
        </w:rPr>
        <w:t>[1]</w:t>
      </w:r>
      <w:r w:rsidR="006F3928">
        <w:rPr>
          <w:lang w:val="en-US"/>
        </w:rPr>
        <w:fldChar w:fldCharType="end"/>
      </w:r>
      <w:r>
        <w:rPr>
          <w:lang w:val="en-US"/>
        </w:rPr>
        <w:t xml:space="preserve">. </w:t>
      </w:r>
      <w:r w:rsidR="002D609C">
        <w:rPr>
          <w:lang w:val="en-US"/>
        </w:rPr>
        <w:t xml:space="preserve">Further refinement, such as the agreements on the definition of </w:t>
      </w:r>
      <w:r w:rsidR="00350EDB">
        <w:rPr>
          <w:lang w:val="en-US"/>
        </w:rPr>
        <w:t>sample-based and path-based</w:t>
      </w:r>
      <w:r w:rsidR="00BB2F4D">
        <w:rPr>
          <w:lang w:val="en-US"/>
        </w:rPr>
        <w:t xml:space="preserve">, were agreed in RAN1 #117 </w:t>
      </w:r>
      <w:r w:rsidR="00BB2F4D">
        <w:rPr>
          <w:lang w:val="en-US"/>
        </w:rPr>
        <w:fldChar w:fldCharType="begin"/>
      </w:r>
      <w:r w:rsidR="00BB2F4D">
        <w:rPr>
          <w:lang w:val="en-US"/>
        </w:rPr>
        <w:instrText xml:space="preserve"> REF _Ref162954407 \r \h </w:instrText>
      </w:r>
      <w:r w:rsidR="00BB2F4D">
        <w:rPr>
          <w:lang w:val="en-US"/>
        </w:rPr>
      </w:r>
      <w:r w:rsidR="00BB2F4D">
        <w:rPr>
          <w:lang w:val="en-US"/>
        </w:rPr>
        <w:fldChar w:fldCharType="separate"/>
      </w:r>
      <w:r w:rsidR="003C26BC">
        <w:rPr>
          <w:lang w:val="en-US"/>
        </w:rPr>
        <w:t>[3]</w:t>
      </w:r>
      <w:r w:rsidR="00BB2F4D">
        <w:rPr>
          <w:lang w:val="en-US"/>
        </w:rPr>
        <w:fldChar w:fldCharType="end"/>
      </w:r>
      <w:r w:rsidR="00BB2F4D">
        <w:rPr>
          <w:lang w:val="en-US"/>
        </w:rPr>
        <w:t xml:space="preserve">. </w:t>
      </w:r>
      <w:r w:rsidR="00D819B9">
        <w:rPr>
          <w:lang w:val="en-US"/>
        </w:rPr>
        <w:t>Subsequently it was discussed particularly on</w:t>
      </w:r>
      <w:r w:rsidR="00404529">
        <w:rPr>
          <w:lang w:val="en-US"/>
        </w:rPr>
        <w:t xml:space="preserve"> identifying the definition and the details of each approach. </w:t>
      </w:r>
      <w:r w:rsidR="00334FE4">
        <w:rPr>
          <w:lang w:val="en-US"/>
        </w:rPr>
        <w:t xml:space="preserve">There was no consensus so far whether to support one or </w:t>
      </w:r>
      <w:proofErr w:type="gramStart"/>
      <w:r w:rsidR="00334FE4">
        <w:rPr>
          <w:lang w:val="en-US"/>
        </w:rPr>
        <w:t>both of them</w:t>
      </w:r>
      <w:proofErr w:type="gramEnd"/>
      <w:r w:rsidR="00334FE4">
        <w:rPr>
          <w:lang w:val="en-US"/>
        </w:rPr>
        <w:t xml:space="preserve">.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 xml:space="preserve">changes in the legacy UE </w:t>
      </w:r>
      <w:proofErr w:type="gramStart"/>
      <w:r w:rsidR="00694482">
        <w:rPr>
          <w:lang w:val="en-US"/>
        </w:rPr>
        <w:t>in order to</w:t>
      </w:r>
      <w:proofErr w:type="gramEnd"/>
      <w:r w:rsidR="00694482">
        <w:rPr>
          <w:lang w:val="en-US"/>
        </w:rPr>
        <w:t xml:space="preserve"> support sample-based measurement.</w:t>
      </w:r>
    </w:p>
    <w:p w14:paraId="31C855BD" w14:textId="3F29B9A8" w:rsidR="00694482" w:rsidRDefault="00694482" w:rsidP="00EA7A50">
      <w:pPr>
        <w:jc w:val="both"/>
        <w:rPr>
          <w:lang w:val="en-US"/>
        </w:rPr>
      </w:pPr>
      <w:r>
        <w:rPr>
          <w:lang w:val="en-US"/>
        </w:rPr>
        <w:t>In term</w:t>
      </w:r>
      <w:r w:rsidR="00104425">
        <w:rPr>
          <w:lang w:val="en-US"/>
        </w:rPr>
        <w:t>s</w:t>
      </w:r>
      <w:r>
        <w:rPr>
          <w:lang w:val="en-US"/>
        </w:rPr>
        <w:t xml:space="preserve"> of the applicability of the sample-based time domain channel measurement</w:t>
      </w:r>
      <w:r w:rsidR="00104425">
        <w:rPr>
          <w:lang w:val="en-US"/>
        </w:rPr>
        <w:t>s</w:t>
      </w:r>
      <w:r>
        <w:rPr>
          <w:lang w:val="en-US"/>
        </w:rPr>
        <w:t xml:space="preserve">, it can be applicable to </w:t>
      </w:r>
      <w:proofErr w:type="gramStart"/>
      <w:r>
        <w:rPr>
          <w:lang w:val="en-US"/>
        </w:rPr>
        <w:t>all of</w:t>
      </w:r>
      <w:proofErr w:type="gramEnd"/>
      <w:r>
        <w:rPr>
          <w:lang w:val="en-US"/>
        </w:rPr>
        <w:t xml:space="preserve"> </w:t>
      </w:r>
      <w:r w:rsidR="00086029">
        <w:rPr>
          <w:lang w:val="en-US"/>
        </w:rPr>
        <w:t>the AI</w:t>
      </w:r>
      <w:r w:rsidR="00EA7A50">
        <w:rPr>
          <w:lang w:val="en-US"/>
        </w:rPr>
        <w:t>/ML positioning case</w:t>
      </w:r>
      <w:r w:rsidR="00104425">
        <w:rPr>
          <w:lang w:val="en-US"/>
        </w:rPr>
        <w:t>s</w:t>
      </w:r>
      <w:r w:rsidR="00EA7A50">
        <w:rPr>
          <w:lang w:val="en-US"/>
        </w:rPr>
        <w:t xml:space="preserve"> when the AI/ML is deployed in the LMF (LMF-side model). In this case, it can be applied in Case 2a, 2b, 3a, and 3b.</w:t>
      </w:r>
    </w:p>
    <w:p w14:paraId="3141479E" w14:textId="6FBBB2AB" w:rsidR="00EA7A50" w:rsidRPr="00EA7A50" w:rsidRDefault="00EA7A50" w:rsidP="00EA7A50">
      <w:pPr>
        <w:pStyle w:val="Caption"/>
      </w:pPr>
      <w:bookmarkStart w:id="10" w:name="_Toc181969060"/>
      <w:r>
        <w:t xml:space="preserve">Proposal </w:t>
      </w:r>
      <w:fldSimple w:instr=" SEQ Proposal \* ARABIC ">
        <w:r w:rsidR="000B22BF">
          <w:rPr>
            <w:noProof/>
          </w:rPr>
          <w:t>6</w:t>
        </w:r>
      </w:fldSimple>
      <w:r>
        <w:t>: Support sample-based time domain channel measurement</w:t>
      </w:r>
      <w:r w:rsidR="00932A62">
        <w:t>s</w:t>
      </w:r>
      <w:r>
        <w:t xml:space="preserve"> as the AI/ML model input.</w:t>
      </w:r>
      <w:bookmarkEnd w:id="10"/>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1E9F1A96"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LOS/NLOS indicator is supported for </w:t>
      </w:r>
      <w:r w:rsidR="00F475CC" w:rsidRPr="00D176E9">
        <w:rPr>
          <w:lang w:val="en-US"/>
        </w:rPr>
        <w:t>reporting. It 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lastRenderedPageBreak/>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We propose</w:t>
      </w:r>
      <w:r w:rsidR="00215D70">
        <w:rPr>
          <w:lang w:val="en-US"/>
        </w:rPr>
        <w:t xml:space="preserve"> that</w:t>
      </w:r>
      <w:r w:rsidR="007C510B" w:rsidRPr="00A51C59">
        <w:rPr>
          <w:lang w:val="en-US"/>
        </w:rPr>
        <w:t xml:space="preserv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34B9F974" w:rsidR="00D84AB9" w:rsidRDefault="00D84AB9" w:rsidP="00D176E9">
      <w:pPr>
        <w:pStyle w:val="Caption"/>
        <w:rPr>
          <w:rFonts w:ascii="Times New Roman" w:hAnsi="Times New Roman"/>
          <w:b w:val="0"/>
          <w:lang w:val="en-US"/>
        </w:rPr>
      </w:pPr>
      <w:bookmarkStart w:id="11" w:name="_Toc181969061"/>
      <w:r>
        <w:t xml:space="preserve">Proposal </w:t>
      </w:r>
      <w:fldSimple w:instr=" SEQ Proposal \* ARABIC ">
        <w:r w:rsidR="000B22BF">
          <w:rPr>
            <w:noProof/>
          </w:rPr>
          <w:t>7</w:t>
        </w:r>
      </w:fldSimple>
      <w:r>
        <w:t xml:space="preserve">: </w:t>
      </w:r>
      <w:r w:rsidR="00B44F9B" w:rsidRPr="00D176E9">
        <w:t>For AI/ML assisted positioning case 2a and case 3a,</w:t>
      </w:r>
      <w:r w:rsidR="008524DB" w:rsidRPr="00D176E9">
        <w:t xml:space="preserve"> the </w:t>
      </w:r>
      <w:r w:rsidR="008524DB" w:rsidRPr="00335891">
        <w:rPr>
          <w:color w:val="000000" w:themeColor="text1"/>
        </w:rPr>
        <w:t>positioning measurement reporting includes LOS/NLOS indicator</w:t>
      </w:r>
      <w:r w:rsidR="00466E95" w:rsidRPr="00335891">
        <w:rPr>
          <w:color w:val="000000" w:themeColor="text1"/>
        </w:rPr>
        <w:t xml:space="preserve"> using the legacy reporting format (i.e., </w:t>
      </w:r>
      <w:r w:rsidR="00306DA7" w:rsidRPr="00335891">
        <w:rPr>
          <w:color w:val="000000" w:themeColor="text1"/>
        </w:rPr>
        <w:t xml:space="preserve">as in TS </w:t>
      </w:r>
      <w:r w:rsidR="00C66663" w:rsidRPr="00335891">
        <w:rPr>
          <w:color w:val="000000" w:themeColor="text1"/>
          <w:szCs w:val="20"/>
          <w:lang w:val="en-US"/>
        </w:rPr>
        <w:t>37.355</w:t>
      </w:r>
      <w:r w:rsidR="00306DA7" w:rsidRPr="00335891">
        <w:rPr>
          <w:color w:val="000000" w:themeColor="text1"/>
          <w:szCs w:val="20"/>
          <w:lang w:val="en-US"/>
        </w:rPr>
        <w:t xml:space="preserve"> for case 2a </w:t>
      </w:r>
      <w:r w:rsidR="00C66663" w:rsidRPr="00335891">
        <w:rPr>
          <w:color w:val="000000" w:themeColor="text1"/>
          <w:szCs w:val="20"/>
          <w:lang w:val="en-US"/>
        </w:rPr>
        <w:t xml:space="preserve">, </w:t>
      </w:r>
      <w:r w:rsidR="00884D3C" w:rsidRPr="00335891">
        <w:rPr>
          <w:color w:val="000000" w:themeColor="text1"/>
          <w:szCs w:val="20"/>
          <w:lang w:val="en-US"/>
        </w:rPr>
        <w:t xml:space="preserve">and </w:t>
      </w:r>
      <w:r w:rsidR="00306DA7" w:rsidRPr="00335891">
        <w:rPr>
          <w:color w:val="000000" w:themeColor="text1"/>
          <w:szCs w:val="20"/>
          <w:lang w:val="en-US"/>
        </w:rPr>
        <w:t xml:space="preserve">as in </w:t>
      </w:r>
      <w:r w:rsidR="00C66663" w:rsidRPr="00335891">
        <w:rPr>
          <w:color w:val="000000" w:themeColor="text1"/>
          <w:szCs w:val="20"/>
          <w:lang w:val="en-US"/>
        </w:rPr>
        <w:t>38.455</w:t>
      </w:r>
      <w:r w:rsidR="008524DB" w:rsidRPr="00335891">
        <w:rPr>
          <w:color w:val="000000" w:themeColor="text1"/>
        </w:rPr>
        <w:t xml:space="preserve"> </w:t>
      </w:r>
      <w:r w:rsidR="00306DA7" w:rsidRPr="00335891">
        <w:rPr>
          <w:color w:val="000000" w:themeColor="text1"/>
        </w:rPr>
        <w:t xml:space="preserve">for case 3a) </w:t>
      </w:r>
      <w:r w:rsidR="008524DB" w:rsidRPr="00335891">
        <w:rPr>
          <w:color w:val="000000" w:themeColor="text1"/>
        </w:rPr>
        <w:t xml:space="preserve"> </w:t>
      </w:r>
      <w:r w:rsidR="00306DA7" w:rsidRPr="00335891">
        <w:rPr>
          <w:color w:val="000000" w:themeColor="text1"/>
        </w:rPr>
        <w:t xml:space="preserve">and the indication whether the </w:t>
      </w:r>
      <w:r w:rsidR="002D4FC6" w:rsidRPr="00335891">
        <w:rPr>
          <w:color w:val="000000" w:themeColor="text1"/>
        </w:rPr>
        <w:t xml:space="preserve">measurement </w:t>
      </w:r>
      <w:r w:rsidR="00984D1C" w:rsidRPr="00335891">
        <w:rPr>
          <w:color w:val="000000" w:themeColor="text1"/>
        </w:rPr>
        <w:t xml:space="preserve">is </w:t>
      </w:r>
      <w:r w:rsidR="008524DB" w:rsidRPr="00335891">
        <w:rPr>
          <w:color w:val="000000" w:themeColor="text1"/>
        </w:rPr>
        <w:t xml:space="preserve">based on AI/ML </w:t>
      </w:r>
      <w:r w:rsidR="00936C91" w:rsidRPr="00335891">
        <w:rPr>
          <w:color w:val="000000" w:themeColor="text1"/>
        </w:rPr>
        <w:t>computation or not.</w:t>
      </w:r>
      <w:bookmarkEnd w:id="11"/>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74053F29"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3C26BC" w:rsidRPr="003264AC">
        <w:rPr>
          <w:lang w:val="en-US"/>
        </w:rPr>
        <w:t xml:space="preserve">Figure </w:t>
      </w:r>
      <w:r w:rsidR="003C26BC">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3A3AE50C" w:rsidR="002B1E8F" w:rsidRPr="0045058D" w:rsidRDefault="002B1E8F" w:rsidP="002B1E8F">
      <w:pPr>
        <w:pStyle w:val="Caption"/>
        <w:jc w:val="center"/>
        <w:rPr>
          <w:lang w:val="en-US"/>
        </w:rPr>
      </w:pPr>
      <w:bookmarkStart w:id="12"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3C26BC">
        <w:rPr>
          <w:noProof/>
          <w:lang w:val="en-US"/>
        </w:rPr>
        <w:t>3</w:t>
      </w:r>
      <w:r>
        <w:fldChar w:fldCharType="end"/>
      </w:r>
      <w:bookmarkEnd w:id="12"/>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32FC515F" w:rsidR="00301E42" w:rsidRDefault="00301E42" w:rsidP="00301E42">
      <w:pPr>
        <w:pStyle w:val="Caption"/>
      </w:pPr>
      <w:bookmarkStart w:id="13" w:name="_Toc181969062"/>
      <w:r>
        <w:t xml:space="preserve">Proposal </w:t>
      </w:r>
      <w:fldSimple w:instr=" SEQ Proposal \* ARABIC ">
        <w:r w:rsidR="000B22BF">
          <w:rPr>
            <w:noProof/>
          </w:rPr>
          <w:t>8</w:t>
        </w:r>
      </w:fldSimple>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w:t>
      </w:r>
      <w:proofErr w:type="gramStart"/>
      <w:r w:rsidR="009762B1">
        <w:t>part/all of</w:t>
      </w:r>
      <w:proofErr w:type="gramEnd"/>
      <w:r w:rsidR="009762B1">
        <w:t xml:space="preserve">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3"/>
    </w:p>
    <w:p w14:paraId="7033E6B4" w14:textId="25A9C8D7" w:rsidR="00E8593A" w:rsidRDefault="00E8593A" w:rsidP="00E8593A">
      <w:pPr>
        <w:pStyle w:val="Caption"/>
      </w:pPr>
      <w:bookmarkStart w:id="14" w:name="_Toc181969063"/>
      <w:r>
        <w:lastRenderedPageBreak/>
        <w:t xml:space="preserve">Proposal </w:t>
      </w:r>
      <w:fldSimple w:instr=" SEQ Proposal \* ARABIC ">
        <w:r w:rsidR="000B22BF">
          <w:rPr>
            <w:noProof/>
          </w:rPr>
          <w:t>9</w:t>
        </w:r>
      </w:fldSimple>
      <w:r>
        <w:t xml:space="preserve">: </w:t>
      </w:r>
      <w:r w:rsidR="001D519F">
        <w:t xml:space="preserve">For ensuring </w:t>
      </w:r>
      <w:r w:rsidR="00703679">
        <w:t xml:space="preserve">the </w:t>
      </w:r>
      <w:r w:rsidR="00867246">
        <w:t xml:space="preserve">AI/ML model </w:t>
      </w:r>
      <w:r w:rsidR="00703679">
        <w:t>consistency between the train</w:t>
      </w:r>
      <w:r w:rsidR="00867246">
        <w:t>ing and inference operation,</w:t>
      </w:r>
      <w:r w:rsidR="00A91EE5">
        <w:t xml:space="preserve"> support the</w:t>
      </w:r>
      <w:r w:rsidR="00703679">
        <w:t xml:space="preserve"> </w:t>
      </w:r>
      <w:r w:rsidR="00A91EE5">
        <w:t xml:space="preserve">association of </w:t>
      </w:r>
      <w:r>
        <w:t xml:space="preserve">the reference signal </w:t>
      </w:r>
      <w:r w:rsidR="00C6707F">
        <w:t xml:space="preserve">(e.g., DL-PRS) </w:t>
      </w:r>
      <w:r>
        <w:t>characteristics to the</w:t>
      </w:r>
      <w:r w:rsidR="000718E0">
        <w:t xml:space="preserve"> trained AI/ML model and AI/ML</w:t>
      </w:r>
      <w:r w:rsidR="00ED7B40">
        <w:t xml:space="preserve"> model inference operation.</w:t>
      </w:r>
      <w:bookmarkEnd w:id="14"/>
    </w:p>
    <w:p w14:paraId="03A598C1" w14:textId="74FBB9E4" w:rsidR="00D30439" w:rsidRDefault="00D30439" w:rsidP="00D176E9">
      <w:pPr>
        <w:jc w:val="both"/>
      </w:pPr>
      <w:r>
        <w:t xml:space="preserve">The association of the reference signal </w:t>
      </w:r>
      <w:r w:rsidR="00C6707F">
        <w:t xml:space="preserve">(e.g., DL-PRS) </w:t>
      </w:r>
      <w:r>
        <w:t xml:space="preserve">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03FE1A9A" w:rsidR="006D2813" w:rsidRPr="00D176E9" w:rsidRDefault="006D2813" w:rsidP="00D176E9">
      <w:pPr>
        <w:pStyle w:val="Caption"/>
      </w:pPr>
      <w:bookmarkStart w:id="15" w:name="_Toc181969064"/>
      <w:r>
        <w:t xml:space="preserve">Proposal </w:t>
      </w:r>
      <w:fldSimple w:instr=" SEQ Proposal \* ARABIC ">
        <w:r w:rsidR="000B22BF">
          <w:rPr>
            <w:noProof/>
          </w:rPr>
          <w:t>10</w:t>
        </w:r>
      </w:fldSimple>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5"/>
    </w:p>
    <w:p w14:paraId="0D3DB760" w14:textId="3E537938" w:rsidR="00EA76C6" w:rsidRDefault="006675B6" w:rsidP="00C869DE">
      <w:pPr>
        <w:jc w:val="both"/>
        <w:rPr>
          <w:lang w:val="en-US"/>
        </w:rPr>
      </w:pPr>
      <w:r>
        <w:rPr>
          <w:lang w:val="en-US"/>
        </w:rPr>
        <w:t xml:space="preserve">In RAN1#118bis, it was </w:t>
      </w:r>
      <w:r w:rsidR="00E8517C">
        <w:rPr>
          <w:lang w:val="en-US"/>
        </w:rPr>
        <w:t>discussed the assistance data provided from LMF to UE</w:t>
      </w:r>
      <w:r w:rsidR="000D39B7">
        <w:rPr>
          <w:lang w:val="en-US"/>
        </w:rPr>
        <w:t xml:space="preserve"> for AIML </w:t>
      </w:r>
      <w:proofErr w:type="spellStart"/>
      <w:r w:rsidR="000D39B7">
        <w:rPr>
          <w:lang w:val="en-US"/>
        </w:rPr>
        <w:t>Pos</w:t>
      </w:r>
      <w:r w:rsidR="006A2F63">
        <w:rPr>
          <w:lang w:val="en-US"/>
        </w:rPr>
        <w:t>itoning</w:t>
      </w:r>
      <w:proofErr w:type="spellEnd"/>
      <w:r w:rsidR="000D39B7">
        <w:rPr>
          <w:lang w:val="en-US"/>
        </w:rPr>
        <w:t xml:space="preserve"> Case 1</w:t>
      </w:r>
      <w:r w:rsidR="00E8517C">
        <w:rPr>
          <w:lang w:val="en-US"/>
        </w:rPr>
        <w:t>, for ensuring consistency</w:t>
      </w:r>
      <w:r w:rsidR="00F26633">
        <w:rPr>
          <w:lang w:val="en-US"/>
        </w:rPr>
        <w:t xml:space="preserve"> between training and inference</w:t>
      </w:r>
      <w:r w:rsidR="00E6102C">
        <w:rPr>
          <w:lang w:val="en-US"/>
        </w:rPr>
        <w:t xml:space="preserve"> </w:t>
      </w:r>
      <w:r w:rsidR="00774AA8">
        <w:rPr>
          <w:lang w:val="en-US"/>
        </w:rPr>
        <w:fldChar w:fldCharType="begin"/>
      </w:r>
      <w:r w:rsidR="00774AA8">
        <w:rPr>
          <w:lang w:val="en-US"/>
        </w:rPr>
        <w:instrText xml:space="preserve"> REF _Ref162955411 \r \h </w:instrText>
      </w:r>
      <w:r w:rsidR="00774AA8">
        <w:rPr>
          <w:lang w:val="en-US"/>
        </w:rPr>
      </w:r>
      <w:r w:rsidR="00774AA8">
        <w:rPr>
          <w:lang w:val="en-US"/>
        </w:rPr>
        <w:fldChar w:fldCharType="separate"/>
      </w:r>
      <w:r w:rsidR="00774AA8">
        <w:rPr>
          <w:lang w:val="en-US"/>
        </w:rPr>
        <w:t>[4]</w:t>
      </w:r>
      <w:r w:rsidR="00774AA8">
        <w:rPr>
          <w:lang w:val="en-US"/>
        </w:rPr>
        <w:fldChar w:fldCharType="end"/>
      </w:r>
      <w:r w:rsidR="00F26633">
        <w:rPr>
          <w:lang w:val="en-US"/>
        </w:rPr>
        <w:t>. The information elements and each co</w:t>
      </w:r>
      <w:r w:rsidR="009622B5">
        <w:rPr>
          <w:lang w:val="en-US"/>
        </w:rPr>
        <w:t>mpanies need to provide input whether the information element(s) can be implicit</w:t>
      </w:r>
      <w:r w:rsidR="00A04300">
        <w:rPr>
          <w:lang w:val="en-US"/>
        </w:rPr>
        <w:t>ly (I) indicated</w:t>
      </w:r>
      <w:r w:rsidR="009622B5">
        <w:rPr>
          <w:lang w:val="en-US"/>
        </w:rPr>
        <w:t>, explicit</w:t>
      </w:r>
      <w:r w:rsidR="00A04300">
        <w:rPr>
          <w:lang w:val="en-US"/>
        </w:rPr>
        <w:t>ly (E) indicated, or others.</w:t>
      </w:r>
      <w:r w:rsidR="00AF086F">
        <w:rPr>
          <w:lang w:val="en-US"/>
        </w:rPr>
        <w:t xml:space="preserve"> Furthermore, different positioning techniques may have different </w:t>
      </w:r>
      <w:r w:rsidR="00E032E2">
        <w:rPr>
          <w:lang w:val="en-US"/>
        </w:rPr>
        <w:t>information element options (whether I, E, or O).</w:t>
      </w:r>
      <w:r w:rsidR="00626AF7">
        <w:rPr>
          <w:lang w:val="en-US"/>
        </w:rPr>
        <w:t xml:space="preserve"> Most of the information elements</w:t>
      </w:r>
      <w:r w:rsidR="002B07F9">
        <w:rPr>
          <w:lang w:val="en-US"/>
        </w:rPr>
        <w:t xml:space="preserve"> being discussed are already supported in 3GPP Rel-18. Hence, these information</w:t>
      </w:r>
      <w:r w:rsidR="00715AB0">
        <w:rPr>
          <w:lang w:val="en-US"/>
        </w:rPr>
        <w:t xml:space="preserve"> elements</w:t>
      </w:r>
      <w:r w:rsidR="002B07F9">
        <w:rPr>
          <w:lang w:val="en-US"/>
        </w:rPr>
        <w:t xml:space="preserve"> </w:t>
      </w:r>
      <w:r w:rsidR="00715AB0">
        <w:rPr>
          <w:lang w:val="en-US"/>
        </w:rPr>
        <w:t>are</w:t>
      </w:r>
      <w:r w:rsidR="002B07F9">
        <w:rPr>
          <w:lang w:val="en-US"/>
        </w:rPr>
        <w:t xml:space="preserve"> already supported and </w:t>
      </w:r>
      <w:r w:rsidR="00313197">
        <w:rPr>
          <w:lang w:val="en-US"/>
        </w:rPr>
        <w:t xml:space="preserve">provided to the UE. In our view, not </w:t>
      </w:r>
      <w:proofErr w:type="gramStart"/>
      <w:r w:rsidR="00313197">
        <w:rPr>
          <w:lang w:val="en-US"/>
        </w:rPr>
        <w:t>all of</w:t>
      </w:r>
      <w:proofErr w:type="gramEnd"/>
      <w:r w:rsidR="00313197">
        <w:rPr>
          <w:lang w:val="en-US"/>
        </w:rPr>
        <w:t xml:space="preserve"> these information </w:t>
      </w:r>
      <w:r w:rsidR="00715AB0">
        <w:rPr>
          <w:lang w:val="en-US"/>
        </w:rPr>
        <w:t xml:space="preserve">elements </w:t>
      </w:r>
      <w:r w:rsidR="00313197">
        <w:rPr>
          <w:lang w:val="en-US"/>
        </w:rPr>
        <w:t xml:space="preserve">are essential for the </w:t>
      </w:r>
      <w:r w:rsidR="00081C73">
        <w:rPr>
          <w:lang w:val="en-US"/>
        </w:rPr>
        <w:t>maintaining consistency between model training and model inference.</w:t>
      </w:r>
    </w:p>
    <w:p w14:paraId="718EEE1B" w14:textId="0594A99F" w:rsidR="00715AB0" w:rsidRDefault="00715AB0" w:rsidP="004C7915">
      <w:pPr>
        <w:pStyle w:val="Caption"/>
        <w:rPr>
          <w:lang w:val="en-US"/>
        </w:rPr>
      </w:pPr>
      <w:bookmarkStart w:id="16" w:name="_Toc181969065"/>
      <w:r>
        <w:t xml:space="preserve">Proposal </w:t>
      </w:r>
      <w:fldSimple w:instr=" SEQ Proposal \* ARABIC ">
        <w:r w:rsidR="000B22BF">
          <w:rPr>
            <w:noProof/>
          </w:rPr>
          <w:t>11</w:t>
        </w:r>
      </w:fldSimple>
      <w:r>
        <w:t xml:space="preserve">: </w:t>
      </w:r>
      <w:r w:rsidR="00314EDD">
        <w:t xml:space="preserve">The assistance data information elements to be used for maintaining consistency between model training and model inference </w:t>
      </w:r>
      <w:r w:rsidR="00A107D7">
        <w:t>are at least the one shown in Table 1 (also provided in the attached excel file</w:t>
      </w:r>
      <w:r w:rsidR="004C7915">
        <w:t>)</w:t>
      </w:r>
      <w:r w:rsidR="00A107D7">
        <w:t>.</w:t>
      </w:r>
      <w:bookmarkEnd w:id="16"/>
      <w:r w:rsidR="00A107D7">
        <w:t xml:space="preserve"> </w:t>
      </w:r>
    </w:p>
    <w:p w14:paraId="78C3964B" w14:textId="0ECF9152" w:rsidR="00A04300" w:rsidRDefault="00EA76C6" w:rsidP="00D176E9">
      <w:pPr>
        <w:rPr>
          <w:lang w:val="en-US"/>
        </w:rPr>
      </w:pPr>
      <w:r>
        <w:rPr>
          <w:lang w:val="en-US"/>
        </w:rPr>
        <w:t>Table 1: Assistance Data Information Elements</w:t>
      </w:r>
    </w:p>
    <w:tbl>
      <w:tblPr>
        <w:tblW w:w="8995" w:type="dxa"/>
        <w:tblLook w:val="04A0" w:firstRow="1" w:lastRow="0" w:firstColumn="1" w:lastColumn="0" w:noHBand="0" w:noVBand="1"/>
      </w:tblPr>
      <w:tblGrid>
        <w:gridCol w:w="5329"/>
        <w:gridCol w:w="1686"/>
        <w:gridCol w:w="1980"/>
      </w:tblGrid>
      <w:tr w:rsidR="00C6437B" w:rsidRPr="00C6437B" w14:paraId="40DD2507" w14:textId="77777777" w:rsidTr="004C7915">
        <w:trPr>
          <w:trHeight w:val="1280"/>
        </w:trPr>
        <w:tc>
          <w:tcPr>
            <w:tcW w:w="53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88F8D" w14:textId="77777777" w:rsidR="00C6437B" w:rsidRPr="00C6437B" w:rsidRDefault="00C6437B" w:rsidP="00C6437B">
            <w:pPr>
              <w:spacing w:after="0"/>
              <w:rPr>
                <w:rFonts w:ascii="Aptos" w:eastAsia="Times New Roman" w:hAnsi="Aptos"/>
                <w:b/>
                <w:bCs/>
                <w:color w:val="000000"/>
                <w:szCs w:val="22"/>
                <w:lang w:val="en-US"/>
              </w:rPr>
            </w:pPr>
            <w:r w:rsidRPr="00C6437B">
              <w:rPr>
                <w:rFonts w:ascii="Aptos" w:eastAsia="Times New Roman" w:hAnsi="Aptos"/>
                <w:b/>
                <w:bCs/>
                <w:color w:val="000000"/>
                <w:szCs w:val="22"/>
                <w:lang w:val="en-US"/>
              </w:rPr>
              <w:t>Existing assistance data (supported up to Rel-18) that may be transferred from LMF to UE in UE-based DL-</w:t>
            </w:r>
            <w:proofErr w:type="spellStart"/>
            <w:r w:rsidRPr="00C6437B">
              <w:rPr>
                <w:rFonts w:ascii="Aptos" w:eastAsia="Times New Roman" w:hAnsi="Aptos"/>
                <w:b/>
                <w:bCs/>
                <w:color w:val="000000"/>
                <w:szCs w:val="22"/>
                <w:lang w:val="en-US"/>
              </w:rPr>
              <w:t>TdoA</w:t>
            </w:r>
            <w:proofErr w:type="spellEnd"/>
            <w:r w:rsidRPr="00C6437B">
              <w:rPr>
                <w:rFonts w:ascii="Aptos" w:eastAsia="Times New Roman" w:hAnsi="Aptos"/>
                <w:b/>
                <w:bCs/>
                <w:color w:val="000000"/>
                <w:szCs w:val="22"/>
                <w:lang w:val="en-US"/>
              </w:rPr>
              <w:t xml:space="preserve"> [1] or UE-</w:t>
            </w:r>
            <w:proofErr w:type="gramStart"/>
            <w:r w:rsidRPr="00C6437B">
              <w:rPr>
                <w:rFonts w:ascii="Aptos" w:eastAsia="Times New Roman" w:hAnsi="Aptos"/>
                <w:b/>
                <w:bCs/>
                <w:color w:val="000000"/>
                <w:szCs w:val="22"/>
                <w:lang w:val="en-US"/>
              </w:rPr>
              <w:t>based  DL</w:t>
            </w:r>
            <w:proofErr w:type="gramEnd"/>
            <w:r w:rsidRPr="00C6437B">
              <w:rPr>
                <w:rFonts w:ascii="Aptos" w:eastAsia="Times New Roman" w:hAnsi="Aptos"/>
                <w:b/>
                <w:bCs/>
                <w:color w:val="000000"/>
                <w:szCs w:val="22"/>
                <w:lang w:val="en-US"/>
              </w:rPr>
              <w:t>-</w:t>
            </w:r>
            <w:proofErr w:type="spellStart"/>
            <w:r w:rsidRPr="00C6437B">
              <w:rPr>
                <w:rFonts w:ascii="Aptos" w:eastAsia="Times New Roman" w:hAnsi="Aptos"/>
                <w:b/>
                <w:bCs/>
                <w:color w:val="000000"/>
                <w:szCs w:val="22"/>
                <w:lang w:val="en-US"/>
              </w:rPr>
              <w:t>AoD</w:t>
            </w:r>
            <w:proofErr w:type="spellEnd"/>
            <w:r w:rsidRPr="00C6437B">
              <w:rPr>
                <w:rFonts w:ascii="Aptos" w:eastAsia="Times New Roman" w:hAnsi="Aptos"/>
                <w:b/>
                <w:bCs/>
                <w:color w:val="000000"/>
                <w:szCs w:val="22"/>
                <w:lang w:val="en-US"/>
              </w:rPr>
              <w:t xml:space="preserve"> [2], as applicable </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14:paraId="062D12F0" w14:textId="718E3BCE" w:rsidR="00C6437B" w:rsidRPr="00C6437B" w:rsidRDefault="00C6437B" w:rsidP="00C6437B">
            <w:pPr>
              <w:spacing w:after="0"/>
              <w:rPr>
                <w:rFonts w:ascii="Aptos" w:eastAsia="Times New Roman" w:hAnsi="Aptos"/>
                <w:b/>
                <w:bCs/>
                <w:color w:val="000000"/>
                <w:szCs w:val="22"/>
                <w:lang w:val="en-US"/>
              </w:rPr>
            </w:pPr>
            <w:r w:rsidRPr="00C6437B">
              <w:rPr>
                <w:rFonts w:ascii="Aptos" w:eastAsia="Times New Roman" w:hAnsi="Aptos"/>
                <w:b/>
                <w:bCs/>
                <w:color w:val="000000"/>
                <w:szCs w:val="22"/>
                <w:lang w:val="en-US"/>
              </w:rPr>
              <w:t>UE-based DL-TDOA</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0A3C2827" w14:textId="150237C0" w:rsidR="00C6437B" w:rsidRPr="00C6437B" w:rsidRDefault="00C6437B" w:rsidP="00C6437B">
            <w:pPr>
              <w:spacing w:after="0"/>
              <w:rPr>
                <w:rFonts w:ascii="Aptos" w:eastAsia="Times New Roman" w:hAnsi="Aptos"/>
                <w:b/>
                <w:bCs/>
                <w:color w:val="000000"/>
                <w:szCs w:val="22"/>
                <w:lang w:val="en-US"/>
              </w:rPr>
            </w:pPr>
            <w:r w:rsidRPr="00C6437B">
              <w:rPr>
                <w:rFonts w:ascii="Aptos" w:eastAsia="Times New Roman" w:hAnsi="Aptos"/>
                <w:b/>
                <w:bCs/>
                <w:color w:val="000000"/>
                <w:szCs w:val="22"/>
                <w:lang w:val="en-US"/>
              </w:rPr>
              <w:t>UE-</w:t>
            </w:r>
            <w:proofErr w:type="gramStart"/>
            <w:r w:rsidRPr="00C6437B">
              <w:rPr>
                <w:rFonts w:ascii="Aptos" w:eastAsia="Times New Roman" w:hAnsi="Aptos"/>
                <w:b/>
                <w:bCs/>
                <w:color w:val="000000"/>
                <w:szCs w:val="22"/>
                <w:lang w:val="en-US"/>
              </w:rPr>
              <w:t>based  DL</w:t>
            </w:r>
            <w:proofErr w:type="gramEnd"/>
            <w:r w:rsidRPr="00C6437B">
              <w:rPr>
                <w:rFonts w:ascii="Aptos" w:eastAsia="Times New Roman" w:hAnsi="Aptos"/>
                <w:b/>
                <w:bCs/>
                <w:color w:val="000000"/>
                <w:szCs w:val="22"/>
                <w:lang w:val="en-US"/>
              </w:rPr>
              <w:t>-</w:t>
            </w:r>
            <w:proofErr w:type="spellStart"/>
            <w:r w:rsidRPr="00C6437B">
              <w:rPr>
                <w:rFonts w:ascii="Aptos" w:eastAsia="Times New Roman" w:hAnsi="Aptos"/>
                <w:b/>
                <w:bCs/>
                <w:color w:val="000000"/>
                <w:szCs w:val="22"/>
                <w:lang w:val="en-US"/>
              </w:rPr>
              <w:t>AoD</w:t>
            </w:r>
            <w:proofErr w:type="spellEnd"/>
          </w:p>
        </w:tc>
      </w:tr>
      <w:tr w:rsidR="00C6437B" w:rsidRPr="00C6437B" w14:paraId="0E8D5CF2"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7EE2549B"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Physical cell IDs (PCIs), global cell IDs (GCIs), ARFCN, and PRS IDs of candidate NR TRPs for measurement</w:t>
            </w:r>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3BFF34F1"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489EC8E2"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3F864EF0"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60337765"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Timing relative to the serving (reference) TRP of candidate NR TRPs</w:t>
            </w:r>
          </w:p>
        </w:tc>
        <w:tc>
          <w:tcPr>
            <w:tcW w:w="1686" w:type="dxa"/>
            <w:tcBorders>
              <w:top w:val="nil"/>
              <w:left w:val="nil"/>
              <w:bottom w:val="single" w:sz="4" w:space="0" w:color="auto"/>
              <w:right w:val="single" w:sz="4" w:space="0" w:color="auto"/>
            </w:tcBorders>
            <w:shd w:val="clear" w:color="auto" w:fill="auto"/>
            <w:noWrap/>
            <w:vAlign w:val="bottom"/>
            <w:hideMark/>
          </w:tcPr>
          <w:p w14:paraId="6D9ADB32"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68D7F2B1"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6D29C258"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1E8F107A"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DL-PRS configuration of candidate NR TRPs</w:t>
            </w:r>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1C78DB48"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638129B4"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62E0DA16" w14:textId="77777777" w:rsidTr="004C7915">
        <w:trPr>
          <w:trHeight w:val="96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76118FA5"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Indication of which DL-PRS Resource Sets across DL-PRS positioning frequency layers are linked for DL-PRS bandwidth aggregation</w:t>
            </w:r>
          </w:p>
        </w:tc>
        <w:tc>
          <w:tcPr>
            <w:tcW w:w="1686" w:type="dxa"/>
            <w:tcBorders>
              <w:top w:val="nil"/>
              <w:left w:val="nil"/>
              <w:bottom w:val="single" w:sz="4" w:space="0" w:color="auto"/>
              <w:right w:val="single" w:sz="4" w:space="0" w:color="auto"/>
            </w:tcBorders>
            <w:shd w:val="clear" w:color="auto" w:fill="auto"/>
            <w:noWrap/>
            <w:vAlign w:val="bottom"/>
            <w:hideMark/>
          </w:tcPr>
          <w:p w14:paraId="69CE1812"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227E5072"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r>
      <w:tr w:rsidR="00C6437B" w:rsidRPr="00C6437B" w14:paraId="5C285E96"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671B726E"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SSB information of the TRPs (the time/frequency occupancy of SSBs)</w:t>
            </w:r>
          </w:p>
        </w:tc>
        <w:tc>
          <w:tcPr>
            <w:tcW w:w="1686" w:type="dxa"/>
            <w:tcBorders>
              <w:top w:val="nil"/>
              <w:left w:val="nil"/>
              <w:bottom w:val="single" w:sz="4" w:space="0" w:color="auto"/>
              <w:right w:val="single" w:sz="4" w:space="0" w:color="auto"/>
            </w:tcBorders>
            <w:shd w:val="clear" w:color="auto" w:fill="auto"/>
            <w:noWrap/>
            <w:vAlign w:val="bottom"/>
            <w:hideMark/>
          </w:tcPr>
          <w:p w14:paraId="16B49B4D"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29B692BE"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0F524AD7" w14:textId="77777777" w:rsidTr="004C7915">
        <w:trPr>
          <w:trHeight w:val="96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13C178FC"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 xml:space="preserve">Spatial direction information (e.g. azimuth, elevation etc.) of the DL-PRS Resources of the TRPs served by the </w:t>
            </w:r>
            <w:proofErr w:type="spellStart"/>
            <w:r w:rsidRPr="00C6437B">
              <w:rPr>
                <w:rFonts w:ascii="Aptos" w:eastAsia="Times New Roman" w:hAnsi="Aptos"/>
                <w:color w:val="000000"/>
                <w:szCs w:val="22"/>
                <w:lang w:val="en-US"/>
              </w:rPr>
              <w:t>gNB</w:t>
            </w:r>
            <w:proofErr w:type="spellEnd"/>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5D85E894"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538639C"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707F2D06" w14:textId="77777777" w:rsidTr="004C7915">
        <w:trPr>
          <w:trHeight w:val="160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630DD49F"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 xml:space="preserve">Geographical coordinates of the TRPs served by the </w:t>
            </w:r>
            <w:proofErr w:type="spellStart"/>
            <w:r w:rsidRPr="00C6437B">
              <w:rPr>
                <w:rFonts w:ascii="Aptos" w:eastAsia="Times New Roman" w:hAnsi="Aptos"/>
                <w:color w:val="000000"/>
                <w:szCs w:val="22"/>
                <w:lang w:val="en-US"/>
              </w:rPr>
              <w:t>gNB</w:t>
            </w:r>
            <w:proofErr w:type="spellEnd"/>
            <w:r w:rsidRPr="00C6437B">
              <w:rPr>
                <w:rFonts w:ascii="Aptos" w:eastAsia="Times New Roman" w:hAnsi="Aptos"/>
                <w:color w:val="000000"/>
                <w:szCs w:val="22"/>
                <w:lang w:val="en-US"/>
              </w:rPr>
              <w:t xml:space="preserve"> (include a transmission reference location for each DL-PRS Resource ID, reference location for the transmitting antenna of the reference TRP, relative locations for transmitting antennas of other TRPs)</w:t>
            </w:r>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1577D996"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31E31A92"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1AC84332"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59EF4526"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Fine Timing relative to the serving (reference) TRP of candidate NR TRPs</w:t>
            </w:r>
          </w:p>
        </w:tc>
        <w:tc>
          <w:tcPr>
            <w:tcW w:w="1686" w:type="dxa"/>
            <w:tcBorders>
              <w:top w:val="nil"/>
              <w:left w:val="nil"/>
              <w:bottom w:val="single" w:sz="4" w:space="0" w:color="auto"/>
              <w:right w:val="single" w:sz="4" w:space="0" w:color="auto"/>
            </w:tcBorders>
            <w:shd w:val="clear" w:color="auto" w:fill="auto"/>
            <w:noWrap/>
            <w:vAlign w:val="bottom"/>
            <w:hideMark/>
          </w:tcPr>
          <w:p w14:paraId="73C48466"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55182820"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r>
      <w:tr w:rsidR="00C6437B" w:rsidRPr="00C6437B" w14:paraId="4BCB3B0A"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0FC69A67"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lastRenderedPageBreak/>
              <w:t>PRS-only TP indication</w:t>
            </w:r>
          </w:p>
        </w:tc>
        <w:tc>
          <w:tcPr>
            <w:tcW w:w="1686" w:type="dxa"/>
            <w:tcBorders>
              <w:top w:val="nil"/>
              <w:left w:val="nil"/>
              <w:bottom w:val="single" w:sz="4" w:space="0" w:color="auto"/>
              <w:right w:val="single" w:sz="4" w:space="0" w:color="auto"/>
            </w:tcBorders>
            <w:shd w:val="clear" w:color="auto" w:fill="auto"/>
            <w:noWrap/>
            <w:vAlign w:val="bottom"/>
            <w:hideMark/>
          </w:tcPr>
          <w:p w14:paraId="0922F1BB"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1CA046DD"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53B8B96D"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4EA4D5A9"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The association information of DL-PRS resources with TRP Tx TEG ID</w:t>
            </w:r>
          </w:p>
        </w:tc>
        <w:tc>
          <w:tcPr>
            <w:tcW w:w="1686" w:type="dxa"/>
            <w:tcBorders>
              <w:top w:val="nil"/>
              <w:left w:val="nil"/>
              <w:bottom w:val="single" w:sz="4" w:space="0" w:color="auto"/>
              <w:right w:val="single" w:sz="4" w:space="0" w:color="auto"/>
            </w:tcBorders>
            <w:shd w:val="clear" w:color="auto" w:fill="auto"/>
            <w:noWrap/>
            <w:vAlign w:val="bottom"/>
            <w:hideMark/>
          </w:tcPr>
          <w:p w14:paraId="7CE715A2"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4835D1A6"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r>
      <w:tr w:rsidR="00C6437B" w:rsidRPr="00C6437B" w14:paraId="69F4ED30"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70AE688E"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LOS/NLOS indicators</w:t>
            </w:r>
          </w:p>
        </w:tc>
        <w:tc>
          <w:tcPr>
            <w:tcW w:w="1686" w:type="dxa"/>
            <w:tcBorders>
              <w:top w:val="nil"/>
              <w:left w:val="nil"/>
              <w:bottom w:val="single" w:sz="4" w:space="0" w:color="auto"/>
              <w:right w:val="single" w:sz="4" w:space="0" w:color="auto"/>
            </w:tcBorders>
            <w:shd w:val="clear" w:color="auto" w:fill="auto"/>
            <w:noWrap/>
            <w:vAlign w:val="bottom"/>
            <w:hideMark/>
          </w:tcPr>
          <w:p w14:paraId="5F98D8DF"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05C4CCE4"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4E153A97" w14:textId="77777777" w:rsidTr="004C7915">
        <w:trPr>
          <w:trHeight w:val="96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743C4AA3"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On-Demand DL-PRS-Configurations, possibly together with information on which configurations are available for DL-PRS bandwidth aggregation</w:t>
            </w:r>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00A23BA5"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6AD6D0CD"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660FBE27"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1F758A4D"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Validity Area of the Assistance Data</w:t>
            </w:r>
          </w:p>
        </w:tc>
        <w:tc>
          <w:tcPr>
            <w:tcW w:w="1686"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C003221"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2E9004AA"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51352B70"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04FEDA8E"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PRU measurements together with the location information of the PRU</w:t>
            </w:r>
          </w:p>
        </w:tc>
        <w:tc>
          <w:tcPr>
            <w:tcW w:w="1686" w:type="dxa"/>
            <w:tcBorders>
              <w:top w:val="nil"/>
              <w:left w:val="nil"/>
              <w:bottom w:val="single" w:sz="4" w:space="0" w:color="auto"/>
              <w:right w:val="single" w:sz="4" w:space="0" w:color="auto"/>
            </w:tcBorders>
            <w:shd w:val="clear" w:color="auto" w:fill="auto"/>
            <w:noWrap/>
            <w:vAlign w:val="bottom"/>
            <w:hideMark/>
          </w:tcPr>
          <w:p w14:paraId="37F7300A"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20FAD11E"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r>
      <w:tr w:rsidR="00C6437B" w:rsidRPr="00C6437B" w14:paraId="4A2774B0" w14:textId="77777777" w:rsidTr="004C7915">
        <w:trPr>
          <w:trHeight w:val="64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7FD042B9"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Data facilitating the integrity results determination of the calculated location</w:t>
            </w:r>
          </w:p>
        </w:tc>
        <w:tc>
          <w:tcPr>
            <w:tcW w:w="1686" w:type="dxa"/>
            <w:tcBorders>
              <w:top w:val="nil"/>
              <w:left w:val="nil"/>
              <w:bottom w:val="single" w:sz="4" w:space="0" w:color="auto"/>
              <w:right w:val="single" w:sz="4" w:space="0" w:color="auto"/>
            </w:tcBorders>
            <w:shd w:val="clear" w:color="auto" w:fill="auto"/>
            <w:noWrap/>
            <w:vAlign w:val="bottom"/>
            <w:hideMark/>
          </w:tcPr>
          <w:p w14:paraId="5BD8491F"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c>
          <w:tcPr>
            <w:tcW w:w="1980" w:type="dxa"/>
            <w:tcBorders>
              <w:top w:val="nil"/>
              <w:left w:val="nil"/>
              <w:bottom w:val="single" w:sz="4" w:space="0" w:color="auto"/>
              <w:right w:val="single" w:sz="4" w:space="0" w:color="auto"/>
            </w:tcBorders>
            <w:shd w:val="clear" w:color="auto" w:fill="auto"/>
            <w:noWrap/>
            <w:vAlign w:val="bottom"/>
            <w:hideMark/>
          </w:tcPr>
          <w:p w14:paraId="1379FE8F"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7B95035A" w14:textId="77777777" w:rsidTr="004C7915">
        <w:trPr>
          <w:trHeight w:val="96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66B45B60"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TRP beam/antenna information (including azimuth angle, zenith angle and relative power between PRS resources per angle per TRP)</w:t>
            </w:r>
          </w:p>
        </w:tc>
        <w:tc>
          <w:tcPr>
            <w:tcW w:w="1686" w:type="dxa"/>
            <w:tcBorders>
              <w:top w:val="nil"/>
              <w:left w:val="nil"/>
              <w:bottom w:val="single" w:sz="4" w:space="0" w:color="auto"/>
              <w:right w:val="single" w:sz="4" w:space="0" w:color="auto"/>
            </w:tcBorders>
            <w:shd w:val="clear" w:color="auto" w:fill="auto"/>
            <w:noWrap/>
            <w:vAlign w:val="bottom"/>
            <w:hideMark/>
          </w:tcPr>
          <w:p w14:paraId="3459DC9F"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c>
          <w:tcPr>
            <w:tcW w:w="1980" w:type="dxa"/>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67181FF"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E</w:t>
            </w:r>
          </w:p>
        </w:tc>
      </w:tr>
      <w:tr w:rsidR="00C6437B" w:rsidRPr="00C6437B" w14:paraId="261EDF34"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1EAE8D4E"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Expected Angle Assistance information</w:t>
            </w:r>
          </w:p>
        </w:tc>
        <w:tc>
          <w:tcPr>
            <w:tcW w:w="1686" w:type="dxa"/>
            <w:tcBorders>
              <w:top w:val="nil"/>
              <w:left w:val="nil"/>
              <w:bottom w:val="single" w:sz="4" w:space="0" w:color="auto"/>
              <w:right w:val="single" w:sz="4" w:space="0" w:color="auto"/>
            </w:tcBorders>
            <w:shd w:val="clear" w:color="auto" w:fill="auto"/>
            <w:noWrap/>
            <w:vAlign w:val="bottom"/>
            <w:hideMark/>
          </w:tcPr>
          <w:p w14:paraId="3E7FF3F4"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c>
          <w:tcPr>
            <w:tcW w:w="1980" w:type="dxa"/>
            <w:tcBorders>
              <w:top w:val="nil"/>
              <w:left w:val="nil"/>
              <w:bottom w:val="single" w:sz="4" w:space="0" w:color="auto"/>
              <w:right w:val="single" w:sz="4" w:space="0" w:color="auto"/>
            </w:tcBorders>
            <w:shd w:val="clear" w:color="auto" w:fill="auto"/>
            <w:noWrap/>
            <w:vAlign w:val="bottom"/>
            <w:hideMark/>
          </w:tcPr>
          <w:p w14:paraId="4DBEA724"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r w:rsidR="00C6437B" w:rsidRPr="00C6437B" w14:paraId="135DB7F2" w14:textId="77777777" w:rsidTr="004C7915">
        <w:trPr>
          <w:trHeight w:val="320"/>
        </w:trPr>
        <w:tc>
          <w:tcPr>
            <w:tcW w:w="5329" w:type="dxa"/>
            <w:tcBorders>
              <w:top w:val="nil"/>
              <w:left w:val="single" w:sz="4" w:space="0" w:color="auto"/>
              <w:bottom w:val="single" w:sz="4" w:space="0" w:color="auto"/>
              <w:right w:val="single" w:sz="4" w:space="0" w:color="auto"/>
            </w:tcBorders>
            <w:shd w:val="clear" w:color="auto" w:fill="auto"/>
            <w:vAlign w:val="center"/>
            <w:hideMark/>
          </w:tcPr>
          <w:p w14:paraId="0965A08A" w14:textId="77777777" w:rsidR="00C6437B" w:rsidRPr="00C6437B" w:rsidRDefault="00C6437B" w:rsidP="00C6437B">
            <w:pPr>
              <w:spacing w:after="0"/>
              <w:rPr>
                <w:rFonts w:ascii="Aptos" w:eastAsia="Times New Roman" w:hAnsi="Aptos"/>
                <w:color w:val="000000"/>
                <w:szCs w:val="22"/>
                <w:lang w:val="en-US"/>
              </w:rPr>
            </w:pPr>
            <w:r w:rsidRPr="00C6437B">
              <w:rPr>
                <w:rFonts w:ascii="Aptos" w:eastAsia="Times New Roman" w:hAnsi="Aptos"/>
                <w:color w:val="000000"/>
                <w:szCs w:val="22"/>
                <w:lang w:val="en-US"/>
              </w:rPr>
              <w:t>PRS priority list</w:t>
            </w:r>
          </w:p>
        </w:tc>
        <w:tc>
          <w:tcPr>
            <w:tcW w:w="1686" w:type="dxa"/>
            <w:tcBorders>
              <w:top w:val="nil"/>
              <w:left w:val="nil"/>
              <w:bottom w:val="single" w:sz="4" w:space="0" w:color="auto"/>
              <w:right w:val="single" w:sz="4" w:space="0" w:color="auto"/>
            </w:tcBorders>
            <w:shd w:val="clear" w:color="auto" w:fill="auto"/>
            <w:noWrap/>
            <w:vAlign w:val="bottom"/>
            <w:hideMark/>
          </w:tcPr>
          <w:p w14:paraId="34979832" w14:textId="77777777" w:rsidR="00C6437B" w:rsidRPr="00C6437B" w:rsidRDefault="00C6437B" w:rsidP="00C6437B">
            <w:pPr>
              <w:spacing w:after="0"/>
              <w:rPr>
                <w:rFonts w:ascii="Aptos Narrow" w:eastAsia="Times New Roman" w:hAnsi="Aptos Narrow"/>
                <w:color w:val="FF0000"/>
                <w:sz w:val="24"/>
                <w:szCs w:val="24"/>
                <w:lang w:val="en-US"/>
              </w:rPr>
            </w:pPr>
            <w:r w:rsidRPr="00C6437B">
              <w:rPr>
                <w:rFonts w:ascii="Aptos Narrow" w:eastAsia="Times New Roman" w:hAnsi="Aptos Narrow"/>
                <w:color w:val="FF0000"/>
                <w:sz w:val="24"/>
                <w:szCs w:val="24"/>
                <w:lang w:val="en-US"/>
              </w:rPr>
              <w:t>N/A</w:t>
            </w:r>
          </w:p>
        </w:tc>
        <w:tc>
          <w:tcPr>
            <w:tcW w:w="1980" w:type="dxa"/>
            <w:tcBorders>
              <w:top w:val="nil"/>
              <w:left w:val="nil"/>
              <w:bottom w:val="single" w:sz="4" w:space="0" w:color="auto"/>
              <w:right w:val="single" w:sz="4" w:space="0" w:color="auto"/>
            </w:tcBorders>
            <w:shd w:val="clear" w:color="auto" w:fill="auto"/>
            <w:noWrap/>
            <w:vAlign w:val="bottom"/>
            <w:hideMark/>
          </w:tcPr>
          <w:p w14:paraId="36B686CA" w14:textId="77777777" w:rsidR="00C6437B" w:rsidRPr="00C6437B" w:rsidRDefault="00C6437B" w:rsidP="00C6437B">
            <w:pPr>
              <w:spacing w:after="0"/>
              <w:rPr>
                <w:rFonts w:ascii="Aptos Narrow" w:eastAsia="Times New Roman" w:hAnsi="Aptos Narrow"/>
                <w:color w:val="000000"/>
                <w:sz w:val="24"/>
                <w:szCs w:val="24"/>
                <w:lang w:val="en-US"/>
              </w:rPr>
            </w:pPr>
            <w:r w:rsidRPr="00C6437B">
              <w:rPr>
                <w:rFonts w:ascii="Aptos Narrow" w:eastAsia="Times New Roman" w:hAnsi="Aptos Narrow"/>
                <w:color w:val="000000"/>
                <w:sz w:val="24"/>
                <w:szCs w:val="24"/>
                <w:lang w:val="en-US"/>
              </w:rPr>
              <w:t> </w:t>
            </w:r>
          </w:p>
        </w:tc>
      </w:tr>
    </w:tbl>
    <w:p w14:paraId="78C15622" w14:textId="77777777" w:rsidR="00C6437B" w:rsidRDefault="00C6437B" w:rsidP="00D176E9">
      <w:pPr>
        <w:rPr>
          <w:lang w:val="en-US"/>
        </w:rPr>
      </w:pPr>
    </w:p>
    <w:p w14:paraId="4BA8A97F" w14:textId="1F5E1960" w:rsidR="006A2F63" w:rsidRDefault="00A107D7" w:rsidP="00D176E9">
      <w:r>
        <w:rPr>
          <w:lang w:val="en-US"/>
        </w:rPr>
        <w:t xml:space="preserve">The above are the </w:t>
      </w:r>
      <w:r w:rsidR="00B85C65">
        <w:rPr>
          <w:lang w:val="en-US"/>
        </w:rPr>
        <w:t>assistance data related to the AD-IE-Group1</w:t>
      </w:r>
      <w:r w:rsidR="005C15EC">
        <w:rPr>
          <w:lang w:val="en-US"/>
        </w:rPr>
        <w:t xml:space="preserve"> (i.e., </w:t>
      </w:r>
      <w:r w:rsidR="003755CC">
        <w:t xml:space="preserve">assistance data needed to support reception of the DL PRS). Furthermore, for </w:t>
      </w:r>
      <w:r w:rsidR="00B14EEE">
        <w:t>ensuring</w:t>
      </w:r>
      <w:r w:rsidR="003755CC">
        <w:t xml:space="preserve"> consistency purpose</w:t>
      </w:r>
      <w:r w:rsidR="00B14EEE">
        <w:t xml:space="preserve">, AD-IE-Group2 </w:t>
      </w:r>
      <w:r w:rsidR="00973B4E">
        <w:t xml:space="preserve">(information related to NW-side additional condition) </w:t>
      </w:r>
      <w:r w:rsidR="00B14EEE">
        <w:t>shall also be provided to the UE.</w:t>
      </w:r>
      <w:r w:rsidR="00973B4E">
        <w:t xml:space="preserve"> For example, this could be related to the Tx power when the </w:t>
      </w:r>
      <w:proofErr w:type="spellStart"/>
      <w:r w:rsidR="00973B4E">
        <w:t>gNB</w:t>
      </w:r>
      <w:proofErr w:type="spellEnd"/>
      <w:r w:rsidR="00973B4E">
        <w:t xml:space="preserve"> transmits DL-PRS.</w:t>
      </w:r>
    </w:p>
    <w:p w14:paraId="60E6A296" w14:textId="2D880E10" w:rsidR="00CA0052" w:rsidRDefault="000B22BF" w:rsidP="000B22BF">
      <w:pPr>
        <w:pStyle w:val="Caption"/>
      </w:pPr>
      <w:bookmarkStart w:id="17" w:name="_Toc181969066"/>
      <w:r>
        <w:t xml:space="preserve">Proposal </w:t>
      </w:r>
      <w:fldSimple w:instr=" SEQ Proposal \* ARABIC ">
        <w:r>
          <w:rPr>
            <w:noProof/>
          </w:rPr>
          <w:t>12</w:t>
        </w:r>
      </w:fldSimple>
      <w:r>
        <w:t xml:space="preserve">: For case 1, in addition to providing </w:t>
      </w:r>
      <w:r w:rsidR="0025636B">
        <w:t xml:space="preserve">AD-IE-Group1, support LMF to provide </w:t>
      </w:r>
      <w:r w:rsidR="008E603B">
        <w:t xml:space="preserve">the UE with </w:t>
      </w:r>
      <w:r w:rsidR="0025636B">
        <w:t>AD-IE-Group2 (</w:t>
      </w:r>
      <w:r w:rsidR="008E603B">
        <w:t>NW-side additional condition</w:t>
      </w:r>
      <w:r w:rsidR="0025636B">
        <w:t>)</w:t>
      </w:r>
      <w:r w:rsidR="008E603B">
        <w:t>.</w:t>
      </w:r>
      <w:bookmarkEnd w:id="17"/>
    </w:p>
    <w:p w14:paraId="39ABB104" w14:textId="77777777" w:rsidR="008E603B" w:rsidRPr="004C7915" w:rsidRDefault="008E603B" w:rsidP="008E603B"/>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546385F7" w:rsidR="00CC50BD" w:rsidRDefault="00572DF8" w:rsidP="00CC50BD">
      <w:pPr>
        <w:pStyle w:val="3GPPText"/>
      </w:pPr>
      <w:r>
        <w:t xml:space="preserve">It can be observed in </w:t>
      </w:r>
      <w:r>
        <w:fldChar w:fldCharType="begin"/>
      </w:r>
      <w:r>
        <w:instrText xml:space="preserve"> REF _Ref158797839 \h </w:instrText>
      </w:r>
      <w:r>
        <w:fldChar w:fldCharType="separate"/>
      </w:r>
      <w:r w:rsidR="003C26BC">
        <w:t xml:space="preserve">Figure </w:t>
      </w:r>
      <w:r w:rsidR="003C26BC">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lastRenderedPageBreak/>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69737F">
      <w:pPr>
        <w:pStyle w:val="3GPPText"/>
        <w:numPr>
          <w:ilvl w:val="0"/>
          <w:numId w:val="38"/>
        </w:numPr>
        <w:spacing w:after="0"/>
      </w:pPr>
      <w:r>
        <w:t>Option A-1. At least information on ground truth label of the target UE is generated by LMF and provided to the target UE.</w:t>
      </w:r>
    </w:p>
    <w:p w14:paraId="32FA57AB" w14:textId="4BC17B89" w:rsidR="00C46167" w:rsidRDefault="00C46167" w:rsidP="0069737F">
      <w:pPr>
        <w:pStyle w:val="3GPPText"/>
        <w:numPr>
          <w:ilvl w:val="1"/>
          <w:numId w:val="38"/>
        </w:numPr>
        <w:spacing w:after="0"/>
      </w:pPr>
      <w:r>
        <w:t>In one example, target UE and/or gNB sends measurement (e.g., legacy measurement) to LMF so that LMF can derive the information on ground truth label.</w:t>
      </w:r>
    </w:p>
    <w:p w14:paraId="6FD3F412" w14:textId="02D248BA" w:rsidR="00C46167" w:rsidRDefault="00C46167" w:rsidP="0069737F">
      <w:pPr>
        <w:pStyle w:val="3GPPText"/>
        <w:numPr>
          <w:ilvl w:val="0"/>
          <w:numId w:val="38"/>
        </w:numPr>
        <w:spacing w:after="0"/>
      </w:pPr>
      <w:r>
        <w:t>Option A-2. At least position calculation assistance data (e.g., existing information for UE-based positioning method) is provided from LMF to the target UE.</w:t>
      </w:r>
    </w:p>
    <w:p w14:paraId="17F752DC" w14:textId="4316943D" w:rsidR="00C46167" w:rsidRDefault="00C46167" w:rsidP="0069737F">
      <w:pPr>
        <w:pStyle w:val="3GPPText"/>
        <w:numPr>
          <w:ilvl w:val="0"/>
          <w:numId w:val="38"/>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69737F">
      <w:pPr>
        <w:pStyle w:val="3GPPText"/>
        <w:numPr>
          <w:ilvl w:val="0"/>
          <w:numId w:val="38"/>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74786282" w:rsidR="00937634" w:rsidRDefault="00D61C10" w:rsidP="00C46167">
      <w:pPr>
        <w:pStyle w:val="3GPPText"/>
      </w:pPr>
      <w:r>
        <w:t>In above options</w:t>
      </w:r>
      <w:r w:rsidR="00230045">
        <w:t>, some information is provided to the UE. Apart from that</w:t>
      </w:r>
      <w:r w:rsidR="00B84BF2">
        <w:t xml:space="preserve">, we consider the operation at UE shall also be controlled by the network so that it is fully up to the UE to perform AI/ML model monitoring. The details of the operation can be up to </w:t>
      </w:r>
      <w:r w:rsidR="00FC45E4">
        <w:t xml:space="preserve">UE implementation, but it should be operated to achieve the same target or criteria. </w:t>
      </w:r>
      <w:r w:rsidR="000C2886">
        <w:t xml:space="preserve">In order to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 xml:space="preserve">whether the model is </w:t>
      </w:r>
      <w:proofErr w:type="gramStart"/>
      <w:r w:rsidR="00937634" w:rsidRPr="00937634">
        <w:t>up-to-date</w:t>
      </w:r>
      <w:proofErr w:type="gramEnd"/>
      <w:r w:rsidR="00937634" w:rsidRPr="00937634">
        <w:t>.</w:t>
      </w:r>
    </w:p>
    <w:p w14:paraId="3ECDE04C" w14:textId="0BF31EDB" w:rsidR="00274790" w:rsidRDefault="00274790" w:rsidP="00274790">
      <w:pPr>
        <w:pStyle w:val="Caption"/>
      </w:pPr>
      <w:bookmarkStart w:id="18" w:name="_Toc181969067"/>
      <w:r>
        <w:t xml:space="preserve">Proposal </w:t>
      </w:r>
      <w:fldSimple w:instr=" SEQ Proposal \* ARABIC ">
        <w:r w:rsidR="000B22BF">
          <w:rPr>
            <w:noProof/>
          </w:rPr>
          <w:t>13</w:t>
        </w:r>
      </w:fldSimple>
      <w:r>
        <w:t xml:space="preserve">: </w:t>
      </w:r>
      <w:r w:rsidR="00624074">
        <w:t>For case 1</w:t>
      </w:r>
      <w:r w:rsidR="0038123C">
        <w:t>, support Option A and</w:t>
      </w:r>
      <w:r w:rsidRPr="0056022F">
        <w:t xml:space="preserve"> the LMF sends criteria (e.g., </w:t>
      </w:r>
      <w:r>
        <w:t xml:space="preserve">parameters for </w:t>
      </w:r>
      <w:r w:rsidRPr="0056022F">
        <w:t>performance</w:t>
      </w:r>
      <w:r>
        <w:t xml:space="preserve"> evaluation, thresholds</w:t>
      </w:r>
      <w:r w:rsidRPr="0056022F">
        <w:t xml:space="preserve">) to the </w:t>
      </w:r>
      <w:r w:rsidR="001122D0">
        <w:t>UE</w:t>
      </w:r>
      <w:r w:rsidRPr="0056022F">
        <w:t xml:space="preserve"> performing </w:t>
      </w:r>
      <w:r w:rsidR="00C1036E">
        <w:t>performance metrics (PM) computation</w:t>
      </w:r>
      <w:r w:rsidRPr="0056022F">
        <w:t>.</w:t>
      </w:r>
      <w:bookmarkEnd w:id="18"/>
    </w:p>
    <w:p w14:paraId="74B34321" w14:textId="5E476945"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3C26BC">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t>Option B. LMF performs monitoring metric calculation for the model located at the NG-RAN node</w:t>
      </w:r>
      <w:r w:rsidR="00ED015A">
        <w:t>.</w:t>
      </w:r>
    </w:p>
    <w:p w14:paraId="6BADADBD" w14:textId="72E88109" w:rsidR="00ED015A" w:rsidRDefault="00A22D1A" w:rsidP="00937634">
      <w:pPr>
        <w:pStyle w:val="3GPPText"/>
      </w:pPr>
      <w:r>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p>
    <w:p w14:paraId="1CAE3824" w14:textId="75840888" w:rsidR="004F6348" w:rsidRDefault="00970F92" w:rsidP="00192073">
      <w:pPr>
        <w:pStyle w:val="Caption"/>
      </w:pPr>
      <w:bookmarkStart w:id="19" w:name="_Toc181969068"/>
      <w:r>
        <w:t xml:space="preserve">Proposal </w:t>
      </w:r>
      <w:fldSimple w:instr=" SEQ Proposal \* ARABIC ">
        <w:r w:rsidR="000B22BF">
          <w:rPr>
            <w:noProof/>
          </w:rPr>
          <w:t>14</w:t>
        </w:r>
      </w:fldSimple>
      <w:r>
        <w:t>: For case 3a</w:t>
      </w:r>
      <w:r w:rsidR="00EF5CEA">
        <w:t xml:space="preserve"> and with option B</w:t>
      </w:r>
      <w:r>
        <w:t xml:space="preserve">, support </w:t>
      </w:r>
      <w:r w:rsidR="005028A0">
        <w:t>LMF to provide an indication of AI/ML model validity to NG-RAN node</w:t>
      </w:r>
      <w:r w:rsidR="007F6066">
        <w:t>.</w:t>
      </w:r>
      <w:bookmarkEnd w:id="19"/>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r w:rsidR="00AF7413" w:rsidRPr="00AF7413">
        <w:t>gNB</w:t>
      </w:r>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6B346DB1" w:rsidR="00AF7413" w:rsidRDefault="002E712F" w:rsidP="002E712F">
      <w:pPr>
        <w:pStyle w:val="Caption"/>
      </w:pPr>
      <w:bookmarkStart w:id="20" w:name="_Toc181969069"/>
      <w:r>
        <w:t xml:space="preserve">Proposal </w:t>
      </w:r>
      <w:fldSimple w:instr=" SEQ Proposal \* ARABIC ">
        <w:r w:rsidR="000B22BF">
          <w:rPr>
            <w:noProof/>
          </w:rPr>
          <w:t>15</w:t>
        </w:r>
      </w:fldSimple>
      <w:r>
        <w:t xml:space="preserve">: </w:t>
      </w:r>
      <w:r w:rsidR="005028A0">
        <w:t>For case 1 and case 3a with option A</w:t>
      </w:r>
      <w:r w:rsidR="00804E1E">
        <w:t>,</w:t>
      </w:r>
      <w:r w:rsidR="005028A0">
        <w:t xml:space="preserve"> </w:t>
      </w:r>
      <w:r>
        <w:t xml:space="preserve">UE or gNB to provide an indication of AI/ML model </w:t>
      </w:r>
      <w:r w:rsidR="000216C1">
        <w:t xml:space="preserve">validity </w:t>
      </w:r>
      <w:r>
        <w:t>to the AI/ML server/management (e.g., LMF)</w:t>
      </w:r>
      <w:r w:rsidR="00B976F2">
        <w:t>.</w:t>
      </w:r>
      <w:bookmarkEnd w:id="20"/>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36404E21" w14:textId="77777777" w:rsidR="004C7915" w:rsidRPr="004C7915" w:rsidRDefault="00D77684"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r w:rsidRPr="00B132DE">
        <w:rPr>
          <w:b/>
          <w:bCs/>
        </w:rPr>
        <w:fldChar w:fldCharType="begin"/>
      </w:r>
      <w:r w:rsidRPr="00B132DE">
        <w:rPr>
          <w:b/>
          <w:bCs/>
        </w:rPr>
        <w:instrText xml:space="preserve"> TOC \n \h \z \c "Proposal" </w:instrText>
      </w:r>
      <w:r w:rsidRPr="00B132DE">
        <w:rPr>
          <w:b/>
          <w:bCs/>
        </w:rPr>
        <w:fldChar w:fldCharType="separate"/>
      </w:r>
      <w:hyperlink w:anchor="_Toc181969055" w:history="1">
        <w:r w:rsidR="004C7915" w:rsidRPr="004C7915">
          <w:rPr>
            <w:rStyle w:val="Hyperlink"/>
            <w:b/>
            <w:bCs/>
            <w:noProof/>
          </w:rPr>
          <w:t>Proposal 1: For data collection, support radio channel characteristics reporting in a form of channel impulse response (CIR) for AI/ML positioning.</w:t>
        </w:r>
      </w:hyperlink>
    </w:p>
    <w:p w14:paraId="5C02153D"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56" w:history="1">
        <w:r w:rsidRPr="004C7915">
          <w:rPr>
            <w:rStyle w:val="Hyperlink"/>
            <w:b/>
            <w:bCs/>
            <w:noProof/>
          </w:rPr>
          <w:t>Proposal 2: Support configurable CIR measurement report (e.g., report size, measurement window size) in an effort to reduce the signalling overhead.</w:t>
        </w:r>
      </w:hyperlink>
    </w:p>
    <w:p w14:paraId="56F5A96A"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57" w:history="1">
        <w:r w:rsidRPr="004C7915">
          <w:rPr>
            <w:rStyle w:val="Hyperlink"/>
            <w:b/>
            <w:bCs/>
            <w:noProof/>
          </w:rPr>
          <w:t>Proposal 3: The association of part A and part B in the collected data sample (for training data collection of AI/ML based positioning) can be based on timing information (e.g., UTC time) or location information.</w:t>
        </w:r>
      </w:hyperlink>
    </w:p>
    <w:p w14:paraId="297122B2"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58" w:history="1">
        <w:r w:rsidRPr="004C7915">
          <w:rPr>
            <w:rStyle w:val="Hyperlink"/>
            <w:b/>
            <w:bCs/>
            <w:noProof/>
          </w:rPr>
          <w:t>Proposal 4: Support model transfer operation from server node (e.g., LMF) to UE/gNB to support AI/ML-assisted positioning.</w:t>
        </w:r>
      </w:hyperlink>
    </w:p>
    <w:p w14:paraId="744CE2AC"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59" w:history="1">
        <w:r w:rsidRPr="004C7915">
          <w:rPr>
            <w:rStyle w:val="Hyperlink"/>
            <w:b/>
            <w:bCs/>
            <w:noProof/>
          </w:rPr>
          <w:t>Proposal 5: Define the AI/ML model structure and parameters for model transfer to support AI/ML-assisted positioning.</w:t>
        </w:r>
      </w:hyperlink>
    </w:p>
    <w:p w14:paraId="44A0E2C9"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0" w:history="1">
        <w:r w:rsidRPr="004C7915">
          <w:rPr>
            <w:rStyle w:val="Hyperlink"/>
            <w:b/>
            <w:bCs/>
            <w:noProof/>
          </w:rPr>
          <w:t>Proposal 6: Support sample-based time domain channel measurements as the AI/ML model input.</w:t>
        </w:r>
      </w:hyperlink>
    </w:p>
    <w:p w14:paraId="6B290E10"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1" w:history="1">
        <w:r w:rsidRPr="004C7915">
          <w:rPr>
            <w:rStyle w:val="Hyperlink"/>
            <w:b/>
            <w:bCs/>
            <w:noProof/>
          </w:rPr>
          <w:t xml:space="preserve">Proposal 7: For AI/ML assisted positioning case 2a and case 3a, the positioning measurement reporting includes LOS/NLOS indicator using the legacy reporting format (i.e., as in TS </w:t>
        </w:r>
        <w:r w:rsidRPr="004C7915">
          <w:rPr>
            <w:rStyle w:val="Hyperlink"/>
            <w:b/>
            <w:bCs/>
            <w:noProof/>
            <w:lang w:val="en-US"/>
          </w:rPr>
          <w:t>37.355 for case 2a , and as in 38.455</w:t>
        </w:r>
        <w:r w:rsidRPr="004C7915">
          <w:rPr>
            <w:rStyle w:val="Hyperlink"/>
            <w:b/>
            <w:bCs/>
            <w:noProof/>
          </w:rPr>
          <w:t xml:space="preserve"> for case 3a)  and the indication whether the measurement is based on AI/ML computation or not.</w:t>
        </w:r>
      </w:hyperlink>
    </w:p>
    <w:p w14:paraId="210D5BDF"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2" w:history="1">
        <w:r w:rsidRPr="004C7915">
          <w:rPr>
            <w:rStyle w:val="Hyperlink"/>
            <w:b/>
            <w:bCs/>
            <w:noProof/>
          </w:rPr>
          <w:t>Proposal 8: Define a set of parameters (e.g., part/all of DL-PRS configuration, received signal quality, etc) representing reference signal characteristics to be used for AI/ML positioning.</w:t>
        </w:r>
      </w:hyperlink>
    </w:p>
    <w:p w14:paraId="188A4E9C"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3" w:history="1">
        <w:r w:rsidRPr="004C7915">
          <w:rPr>
            <w:rStyle w:val="Hyperlink"/>
            <w:b/>
            <w:bCs/>
            <w:noProof/>
          </w:rPr>
          <w:t>Proposal 9: For ensuring the AI/ML model consistency between the training and inference operation, support the association of the reference signal (e.g., DL-PRS) characteristics to the trained AI/ML model and AI/ML model inference operation.</w:t>
        </w:r>
      </w:hyperlink>
    </w:p>
    <w:p w14:paraId="0CF66CEC"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4" w:history="1">
        <w:r w:rsidRPr="004C7915">
          <w:rPr>
            <w:rStyle w:val="Hyperlink"/>
            <w:b/>
            <w:bCs/>
            <w:noProof/>
          </w:rPr>
          <w:t>Proposal 10: Further study the signalling procedure to ensure the consistency between AI/ML training and AI/ML inference.</w:t>
        </w:r>
      </w:hyperlink>
    </w:p>
    <w:p w14:paraId="64BD60B1"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5" w:history="1">
        <w:r w:rsidRPr="004C7915">
          <w:rPr>
            <w:rStyle w:val="Hyperlink"/>
            <w:b/>
            <w:bCs/>
            <w:noProof/>
          </w:rPr>
          <w:t>Proposal 11: The assistance data information elements to be used for maintaining consistency between model training and model inference are at least the one shown in Table 1 (also provided in the attached excel file).</w:t>
        </w:r>
      </w:hyperlink>
    </w:p>
    <w:p w14:paraId="503340AA"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6" w:history="1">
        <w:r w:rsidRPr="004C7915">
          <w:rPr>
            <w:rStyle w:val="Hyperlink"/>
            <w:b/>
            <w:bCs/>
            <w:noProof/>
          </w:rPr>
          <w:t>Proposal 12: For case 1, in addition to providing AD-IE-Group1, support LMF to provide the UE with AD-IE-Group2 (NW-side additional condition).</w:t>
        </w:r>
      </w:hyperlink>
    </w:p>
    <w:p w14:paraId="594495D8"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7" w:history="1">
        <w:r w:rsidRPr="004C7915">
          <w:rPr>
            <w:rStyle w:val="Hyperlink"/>
            <w:b/>
            <w:bCs/>
            <w:noProof/>
          </w:rPr>
          <w:t>Proposal 13: For case 1, support Option A and the LMF sends criteria (e.g., parameters for performance evaluation, thresholds) to the UE performing performance metrics (PM) computation.</w:t>
        </w:r>
      </w:hyperlink>
    </w:p>
    <w:p w14:paraId="37356260"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8" w:history="1">
        <w:r w:rsidRPr="004C7915">
          <w:rPr>
            <w:rStyle w:val="Hyperlink"/>
            <w:b/>
            <w:bCs/>
            <w:noProof/>
          </w:rPr>
          <w:t>Proposal 14: For case 3a and with option B, support LMF to provide an indication of AI/ML model validity to NG-RAN node.</w:t>
        </w:r>
      </w:hyperlink>
    </w:p>
    <w:p w14:paraId="160BCDBA" w14:textId="77777777" w:rsidR="004C7915" w:rsidRPr="004C7915" w:rsidRDefault="004C7915" w:rsidP="004C7915">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US"/>
          <w14:ligatures w14:val="standardContextual"/>
        </w:rPr>
      </w:pPr>
      <w:hyperlink w:anchor="_Toc181969069" w:history="1">
        <w:r w:rsidRPr="004C7915">
          <w:rPr>
            <w:rStyle w:val="Hyperlink"/>
            <w:b/>
            <w:bCs/>
            <w:noProof/>
          </w:rPr>
          <w:t>Proposal 15: For case 1 and case 3a with option A, UE or gNB to provide an indication of AI/ML model validity to the AI/ML server/management (e.g., LMF).</w:t>
        </w:r>
      </w:hyperlink>
    </w:p>
    <w:p w14:paraId="7370A911" w14:textId="61C5E487" w:rsidR="00D77684" w:rsidRDefault="00D77684" w:rsidP="00B132DE">
      <w:pPr>
        <w:spacing w:after="240" w:line="276" w:lineRule="auto"/>
        <w:jc w:val="both"/>
      </w:pPr>
      <w:r w:rsidRPr="00B132DE">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F236347" w14:textId="71DA81B9" w:rsidR="00AC02C3" w:rsidRPr="008630B5" w:rsidRDefault="00E74AB8" w:rsidP="00AC02C3">
      <w:pPr>
        <w:pStyle w:val="ListParagraph"/>
        <w:numPr>
          <w:ilvl w:val="0"/>
          <w:numId w:val="8"/>
        </w:numPr>
        <w:ind w:left="426" w:hanging="426"/>
      </w:pPr>
      <w:bookmarkStart w:id="21" w:name="_Ref61535913"/>
      <w:bookmarkStart w:id="22" w:name="_Ref71022775"/>
      <w:bookmarkStart w:id="23" w:name="_Ref101858314"/>
      <w:bookmarkStart w:id="24"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21"/>
      <w:bookmarkEnd w:id="22"/>
      <w:bookmarkEnd w:id="23"/>
      <w:r w:rsidR="00F03F1A">
        <w:t>4</w:t>
      </w:r>
    </w:p>
    <w:p w14:paraId="375B61E5" w14:textId="3CFF268C" w:rsidR="0097758A" w:rsidRDefault="0097758A" w:rsidP="00AC02C3">
      <w:pPr>
        <w:pStyle w:val="ListParagraph"/>
        <w:numPr>
          <w:ilvl w:val="0"/>
          <w:numId w:val="8"/>
        </w:numPr>
        <w:ind w:left="426" w:hanging="426"/>
      </w:pPr>
      <w:bookmarkStart w:id="25" w:name="_Ref158797919"/>
      <w:r>
        <w:t>TR 38.843, “</w:t>
      </w:r>
      <w:r w:rsidRPr="0097758A">
        <w:t>Study on Artificial Intelligence (AI)/Machine Learning (ML) for NR air interface</w:t>
      </w:r>
      <w:r>
        <w:t>” V18.0.0</w:t>
      </w:r>
      <w:bookmarkEnd w:id="25"/>
    </w:p>
    <w:p w14:paraId="4BD3C694" w14:textId="5EA2815E" w:rsidR="00D840A2" w:rsidRDefault="00D840A2" w:rsidP="00AC02C3">
      <w:pPr>
        <w:pStyle w:val="ListParagraph"/>
        <w:numPr>
          <w:ilvl w:val="0"/>
          <w:numId w:val="8"/>
        </w:numPr>
        <w:ind w:left="426" w:hanging="426"/>
      </w:pPr>
      <w:bookmarkStart w:id="26" w:name="_Ref162954407"/>
      <w:r>
        <w:t>Chairman’s notes RAN1#</w:t>
      </w:r>
      <w:r w:rsidR="00507A8C">
        <w:t>11</w:t>
      </w:r>
      <w:r w:rsidR="00DC0859">
        <w:t>8</w:t>
      </w:r>
      <w:r w:rsidR="00B132DE">
        <w:t>bis</w:t>
      </w:r>
      <w:r w:rsidR="00507A8C">
        <w:t xml:space="preserve">, </w:t>
      </w:r>
      <w:r w:rsidR="00B132DE">
        <w:t>Hefei</w:t>
      </w:r>
      <w:r w:rsidR="00507A8C">
        <w:t xml:space="preserve">, </w:t>
      </w:r>
      <w:r w:rsidR="00B132DE">
        <w:t xml:space="preserve">October </w:t>
      </w:r>
      <w:r w:rsidR="00507A8C">
        <w:t>2024</w:t>
      </w:r>
      <w:r>
        <w:t>.</w:t>
      </w:r>
      <w:bookmarkEnd w:id="26"/>
    </w:p>
    <w:p w14:paraId="3BBC0E12" w14:textId="61D00D22" w:rsidR="00EA7A50" w:rsidRPr="008630B5" w:rsidRDefault="00EA7A50" w:rsidP="00AC02C3">
      <w:pPr>
        <w:pStyle w:val="ListParagraph"/>
        <w:numPr>
          <w:ilvl w:val="0"/>
          <w:numId w:val="8"/>
        </w:numPr>
        <w:ind w:left="426" w:hanging="426"/>
      </w:pPr>
      <w:bookmarkStart w:id="27" w:name="_Ref162955411"/>
      <w:r>
        <w:t>R1-</w:t>
      </w:r>
      <w:r w:rsidR="004779F4">
        <w:t>2409286</w:t>
      </w:r>
      <w:r>
        <w:t>, “</w:t>
      </w:r>
      <w:r w:rsidR="004779F4">
        <w:t xml:space="preserve">Final </w:t>
      </w:r>
      <w:r>
        <w:t xml:space="preserve">Summary AI/ML Positioning”, Ericsson, </w:t>
      </w:r>
      <w:r w:rsidR="00B132DE">
        <w:t>Hefei, October</w:t>
      </w:r>
      <w:r w:rsidR="00626C9D">
        <w:t xml:space="preserve"> 2024</w:t>
      </w:r>
      <w:r>
        <w:t>.</w:t>
      </w:r>
      <w:bookmarkEnd w:id="27"/>
    </w:p>
    <w:p w14:paraId="7DB6392E" w14:textId="77777777" w:rsidR="002B4C89" w:rsidRDefault="002B4C89" w:rsidP="00491881"/>
    <w:bookmarkEnd w:id="24"/>
    <w:p w14:paraId="2D08908F" w14:textId="77777777"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8B840C" w14:textId="77777777" w:rsidR="00F3095C" w:rsidRDefault="00F3095C">
      <w:r>
        <w:separator/>
      </w:r>
    </w:p>
  </w:endnote>
  <w:endnote w:type="continuationSeparator" w:id="0">
    <w:p w14:paraId="35F4F216" w14:textId="77777777" w:rsidR="00F3095C" w:rsidRDefault="00F3095C">
      <w:r>
        <w:continuationSeparator/>
      </w:r>
    </w:p>
  </w:endnote>
  <w:endnote w:type="continuationNotice" w:id="1">
    <w:p w14:paraId="1553A946" w14:textId="77777777" w:rsidR="00F3095C" w:rsidRDefault="00F30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A7614" w14:textId="77777777" w:rsidR="00F3095C" w:rsidRDefault="00F3095C">
      <w:r>
        <w:separator/>
      </w:r>
    </w:p>
  </w:footnote>
  <w:footnote w:type="continuationSeparator" w:id="0">
    <w:p w14:paraId="1C31AD7E" w14:textId="77777777" w:rsidR="00F3095C" w:rsidRDefault="00F3095C">
      <w:r>
        <w:continuationSeparator/>
      </w:r>
    </w:p>
  </w:footnote>
  <w:footnote w:type="continuationNotice" w:id="1">
    <w:p w14:paraId="0795885E" w14:textId="77777777" w:rsidR="00F3095C" w:rsidRDefault="00F309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0"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3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9"/>
  </w:num>
  <w:num w:numId="2" w16cid:durableId="540676523">
    <w:abstractNumId w:val="25"/>
  </w:num>
  <w:num w:numId="3" w16cid:durableId="1989626665">
    <w:abstractNumId w:val="21"/>
  </w:num>
  <w:num w:numId="4" w16cid:durableId="1359502365">
    <w:abstractNumId w:val="10"/>
  </w:num>
  <w:num w:numId="5" w16cid:durableId="318995828">
    <w:abstractNumId w:val="1"/>
  </w:num>
  <w:num w:numId="6" w16cid:durableId="1729379628">
    <w:abstractNumId w:val="17"/>
  </w:num>
  <w:num w:numId="7" w16cid:durableId="970866626">
    <w:abstractNumId w:val="37"/>
  </w:num>
  <w:num w:numId="8" w16cid:durableId="1105343373">
    <w:abstractNumId w:val="34"/>
  </w:num>
  <w:num w:numId="9" w16cid:durableId="685912767">
    <w:abstractNumId w:val="20"/>
  </w:num>
  <w:num w:numId="10" w16cid:durableId="1881284622">
    <w:abstractNumId w:val="23"/>
  </w:num>
  <w:num w:numId="11" w16cid:durableId="593635886">
    <w:abstractNumId w:val="32"/>
  </w:num>
  <w:num w:numId="12" w16cid:durableId="2032024314">
    <w:abstractNumId w:val="30"/>
  </w:num>
  <w:num w:numId="13" w16cid:durableId="2060398135">
    <w:abstractNumId w:val="28"/>
  </w:num>
  <w:num w:numId="14" w16cid:durableId="980188311">
    <w:abstractNumId w:val="24"/>
  </w:num>
  <w:num w:numId="15" w16cid:durableId="303514084">
    <w:abstractNumId w:val="0"/>
  </w:num>
  <w:num w:numId="16" w16cid:durableId="958025061">
    <w:abstractNumId w:val="35"/>
  </w:num>
  <w:num w:numId="17" w16cid:durableId="1107195646">
    <w:abstractNumId w:val="19"/>
  </w:num>
  <w:num w:numId="18" w16cid:durableId="340668033">
    <w:abstractNumId w:val="15"/>
  </w:num>
  <w:num w:numId="19" w16cid:durableId="1401323089">
    <w:abstractNumId w:val="27"/>
  </w:num>
  <w:num w:numId="20" w16cid:durableId="46416832">
    <w:abstractNumId w:val="6"/>
  </w:num>
  <w:num w:numId="21" w16cid:durableId="371078972">
    <w:abstractNumId w:val="31"/>
  </w:num>
  <w:num w:numId="22" w16cid:durableId="1276716708">
    <w:abstractNumId w:val="36"/>
  </w:num>
  <w:num w:numId="23" w16cid:durableId="194848508">
    <w:abstractNumId w:val="16"/>
  </w:num>
  <w:num w:numId="24" w16cid:durableId="1507138720">
    <w:abstractNumId w:val="13"/>
  </w:num>
  <w:num w:numId="25" w16cid:durableId="1836021839">
    <w:abstractNumId w:val="4"/>
  </w:num>
  <w:num w:numId="26" w16cid:durableId="1421288925">
    <w:abstractNumId w:val="3"/>
  </w:num>
  <w:num w:numId="27" w16cid:durableId="1790123946">
    <w:abstractNumId w:val="18"/>
  </w:num>
  <w:num w:numId="28" w16cid:durableId="89471081">
    <w:abstractNumId w:val="7"/>
  </w:num>
  <w:num w:numId="29" w16cid:durableId="1471559817">
    <w:abstractNumId w:val="26"/>
  </w:num>
  <w:num w:numId="30" w16cid:durableId="258563716">
    <w:abstractNumId w:val="11"/>
  </w:num>
  <w:num w:numId="31" w16cid:durableId="1199927858">
    <w:abstractNumId w:val="12"/>
  </w:num>
  <w:num w:numId="32" w16cid:durableId="351491474">
    <w:abstractNumId w:val="2"/>
  </w:num>
  <w:num w:numId="33" w16cid:durableId="1150365780">
    <w:abstractNumId w:val="33"/>
  </w:num>
  <w:num w:numId="34" w16cid:durableId="397286707">
    <w:abstractNumId w:val="9"/>
  </w:num>
  <w:num w:numId="35" w16cid:durableId="568730116">
    <w:abstractNumId w:val="8"/>
  </w:num>
  <w:num w:numId="36" w16cid:durableId="1815415604">
    <w:abstractNumId w:val="5"/>
  </w:num>
  <w:num w:numId="37" w16cid:durableId="1030761437">
    <w:abstractNumId w:val="14"/>
  </w:num>
  <w:num w:numId="38" w16cid:durableId="168093318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2CE6"/>
    <w:rsid w:val="00023268"/>
    <w:rsid w:val="00023D44"/>
    <w:rsid w:val="000243E4"/>
    <w:rsid w:val="00024B94"/>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5DE2"/>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C73"/>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2BF"/>
    <w:rsid w:val="000B252B"/>
    <w:rsid w:val="000B2710"/>
    <w:rsid w:val="000B2B8C"/>
    <w:rsid w:val="000B2C0D"/>
    <w:rsid w:val="000B2C5C"/>
    <w:rsid w:val="000B2C86"/>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39B7"/>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AF4"/>
    <w:rsid w:val="00104425"/>
    <w:rsid w:val="00104532"/>
    <w:rsid w:val="001049D7"/>
    <w:rsid w:val="00104F40"/>
    <w:rsid w:val="0010533E"/>
    <w:rsid w:val="00105393"/>
    <w:rsid w:val="0010548F"/>
    <w:rsid w:val="00105D05"/>
    <w:rsid w:val="00106422"/>
    <w:rsid w:val="00106793"/>
    <w:rsid w:val="00106B70"/>
    <w:rsid w:val="00106D5C"/>
    <w:rsid w:val="00106E4E"/>
    <w:rsid w:val="001074FE"/>
    <w:rsid w:val="00107B78"/>
    <w:rsid w:val="0011137A"/>
    <w:rsid w:val="001116CE"/>
    <w:rsid w:val="001118C7"/>
    <w:rsid w:val="0011211E"/>
    <w:rsid w:val="001122D0"/>
    <w:rsid w:val="00112B6D"/>
    <w:rsid w:val="00112E27"/>
    <w:rsid w:val="00112F5D"/>
    <w:rsid w:val="00112FBE"/>
    <w:rsid w:val="00113713"/>
    <w:rsid w:val="00114866"/>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5397"/>
    <w:rsid w:val="00126266"/>
    <w:rsid w:val="00126B43"/>
    <w:rsid w:val="00127205"/>
    <w:rsid w:val="0012752F"/>
    <w:rsid w:val="00127FE5"/>
    <w:rsid w:val="00130B1A"/>
    <w:rsid w:val="001318A8"/>
    <w:rsid w:val="001318C4"/>
    <w:rsid w:val="0013207D"/>
    <w:rsid w:val="001324D1"/>
    <w:rsid w:val="001329FD"/>
    <w:rsid w:val="001334B7"/>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6D"/>
    <w:rsid w:val="001571AB"/>
    <w:rsid w:val="00157529"/>
    <w:rsid w:val="0015760F"/>
    <w:rsid w:val="00157917"/>
    <w:rsid w:val="00157BEE"/>
    <w:rsid w:val="00160075"/>
    <w:rsid w:val="00160371"/>
    <w:rsid w:val="001605DC"/>
    <w:rsid w:val="00160945"/>
    <w:rsid w:val="00161664"/>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8CA"/>
    <w:rsid w:val="001B79BF"/>
    <w:rsid w:val="001C0660"/>
    <w:rsid w:val="001C07B5"/>
    <w:rsid w:val="001C20AC"/>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4F35"/>
    <w:rsid w:val="00215504"/>
    <w:rsid w:val="00215D70"/>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36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7A9"/>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353A"/>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0A0F"/>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7F9"/>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5ED7"/>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197"/>
    <w:rsid w:val="00313247"/>
    <w:rsid w:val="0031388A"/>
    <w:rsid w:val="00314516"/>
    <w:rsid w:val="00314ABC"/>
    <w:rsid w:val="00314B58"/>
    <w:rsid w:val="00314EDD"/>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319"/>
    <w:rsid w:val="0033441C"/>
    <w:rsid w:val="00334FE4"/>
    <w:rsid w:val="003352DF"/>
    <w:rsid w:val="00335891"/>
    <w:rsid w:val="00335B0B"/>
    <w:rsid w:val="00335B87"/>
    <w:rsid w:val="00335E55"/>
    <w:rsid w:val="0033647A"/>
    <w:rsid w:val="003365EF"/>
    <w:rsid w:val="00337503"/>
    <w:rsid w:val="00337E98"/>
    <w:rsid w:val="00340FCF"/>
    <w:rsid w:val="0034153C"/>
    <w:rsid w:val="00341C5F"/>
    <w:rsid w:val="003428F0"/>
    <w:rsid w:val="00342964"/>
    <w:rsid w:val="00342AAD"/>
    <w:rsid w:val="00342D10"/>
    <w:rsid w:val="00343647"/>
    <w:rsid w:val="003438A6"/>
    <w:rsid w:val="00344169"/>
    <w:rsid w:val="003441FA"/>
    <w:rsid w:val="0034446D"/>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5CC"/>
    <w:rsid w:val="00375A7D"/>
    <w:rsid w:val="00375F29"/>
    <w:rsid w:val="003760C1"/>
    <w:rsid w:val="003767B5"/>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3F6D4D"/>
    <w:rsid w:val="00401054"/>
    <w:rsid w:val="004012D6"/>
    <w:rsid w:val="00401479"/>
    <w:rsid w:val="0040192D"/>
    <w:rsid w:val="00402551"/>
    <w:rsid w:val="0040350E"/>
    <w:rsid w:val="00403638"/>
    <w:rsid w:val="0040402B"/>
    <w:rsid w:val="004040D4"/>
    <w:rsid w:val="004042FC"/>
    <w:rsid w:val="00404529"/>
    <w:rsid w:val="004046F6"/>
    <w:rsid w:val="0040472F"/>
    <w:rsid w:val="00404F4B"/>
    <w:rsid w:val="004052F0"/>
    <w:rsid w:val="004054F5"/>
    <w:rsid w:val="004075B7"/>
    <w:rsid w:val="004079BA"/>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1CF7"/>
    <w:rsid w:val="004524A1"/>
    <w:rsid w:val="00453952"/>
    <w:rsid w:val="00453D31"/>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9F4"/>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2252"/>
    <w:rsid w:val="004A22CC"/>
    <w:rsid w:val="004A25EE"/>
    <w:rsid w:val="004A26F5"/>
    <w:rsid w:val="004A291E"/>
    <w:rsid w:val="004A3318"/>
    <w:rsid w:val="004A4173"/>
    <w:rsid w:val="004A4F45"/>
    <w:rsid w:val="004A554F"/>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58B"/>
    <w:rsid w:val="004B379E"/>
    <w:rsid w:val="004B4777"/>
    <w:rsid w:val="004B56A5"/>
    <w:rsid w:val="004B5711"/>
    <w:rsid w:val="004B592F"/>
    <w:rsid w:val="004B62ED"/>
    <w:rsid w:val="004B6852"/>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C7915"/>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B0D"/>
    <w:rsid w:val="004E7CC8"/>
    <w:rsid w:val="004F0591"/>
    <w:rsid w:val="004F0B34"/>
    <w:rsid w:val="004F1152"/>
    <w:rsid w:val="004F23BC"/>
    <w:rsid w:val="004F3678"/>
    <w:rsid w:val="004F419F"/>
    <w:rsid w:val="004F45DC"/>
    <w:rsid w:val="004F6348"/>
    <w:rsid w:val="004F6496"/>
    <w:rsid w:val="004F6519"/>
    <w:rsid w:val="004F72BE"/>
    <w:rsid w:val="004F7341"/>
    <w:rsid w:val="0050004B"/>
    <w:rsid w:val="0050032E"/>
    <w:rsid w:val="005023BF"/>
    <w:rsid w:val="00502625"/>
    <w:rsid w:val="00502881"/>
    <w:rsid w:val="005028A0"/>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CCD"/>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5EC"/>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CB"/>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69F"/>
    <w:rsid w:val="005E78FC"/>
    <w:rsid w:val="005F0129"/>
    <w:rsid w:val="005F061E"/>
    <w:rsid w:val="005F07A2"/>
    <w:rsid w:val="005F0991"/>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84C"/>
    <w:rsid w:val="00620DD7"/>
    <w:rsid w:val="006214DE"/>
    <w:rsid w:val="00621EF5"/>
    <w:rsid w:val="0062211E"/>
    <w:rsid w:val="00622609"/>
    <w:rsid w:val="00622F35"/>
    <w:rsid w:val="006236B8"/>
    <w:rsid w:val="00623851"/>
    <w:rsid w:val="00623A5F"/>
    <w:rsid w:val="00623E6C"/>
    <w:rsid w:val="00623FFC"/>
    <w:rsid w:val="00624074"/>
    <w:rsid w:val="00624357"/>
    <w:rsid w:val="006245DB"/>
    <w:rsid w:val="00624822"/>
    <w:rsid w:val="00624DB8"/>
    <w:rsid w:val="00626AF7"/>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3F6A"/>
    <w:rsid w:val="0065448E"/>
    <w:rsid w:val="00654A38"/>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5B6"/>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2F63"/>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56"/>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5AB0"/>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4B8B"/>
    <w:rsid w:val="00725B6A"/>
    <w:rsid w:val="007264E5"/>
    <w:rsid w:val="007270AC"/>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37970"/>
    <w:rsid w:val="0074082F"/>
    <w:rsid w:val="00740D09"/>
    <w:rsid w:val="00741002"/>
    <w:rsid w:val="00741129"/>
    <w:rsid w:val="0074135D"/>
    <w:rsid w:val="0074165E"/>
    <w:rsid w:val="0074178C"/>
    <w:rsid w:val="00742EE6"/>
    <w:rsid w:val="0074333E"/>
    <w:rsid w:val="007438F5"/>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8A"/>
    <w:rsid w:val="007622A3"/>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AA8"/>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59E"/>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48A7"/>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3DC6"/>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56E"/>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D3C"/>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3FBF"/>
    <w:rsid w:val="008A41B6"/>
    <w:rsid w:val="008A4450"/>
    <w:rsid w:val="008A4933"/>
    <w:rsid w:val="008A57E7"/>
    <w:rsid w:val="008A636C"/>
    <w:rsid w:val="008A661F"/>
    <w:rsid w:val="008A69A9"/>
    <w:rsid w:val="008A7296"/>
    <w:rsid w:val="008A7679"/>
    <w:rsid w:val="008A783C"/>
    <w:rsid w:val="008A7B88"/>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03B"/>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27C"/>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75D"/>
    <w:rsid w:val="00903F7D"/>
    <w:rsid w:val="00904085"/>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ED0"/>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276F"/>
    <w:rsid w:val="00943DD5"/>
    <w:rsid w:val="0094420E"/>
    <w:rsid w:val="00944A8E"/>
    <w:rsid w:val="00944EED"/>
    <w:rsid w:val="009453AB"/>
    <w:rsid w:val="009455CC"/>
    <w:rsid w:val="00945FD6"/>
    <w:rsid w:val="0094656D"/>
    <w:rsid w:val="009468CE"/>
    <w:rsid w:val="009470D6"/>
    <w:rsid w:val="0094790B"/>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2B5"/>
    <w:rsid w:val="009623FB"/>
    <w:rsid w:val="0096245A"/>
    <w:rsid w:val="00963D94"/>
    <w:rsid w:val="0096411C"/>
    <w:rsid w:val="009649D7"/>
    <w:rsid w:val="00965076"/>
    <w:rsid w:val="009659F6"/>
    <w:rsid w:val="00965AFD"/>
    <w:rsid w:val="00965C41"/>
    <w:rsid w:val="00965D4D"/>
    <w:rsid w:val="00965D67"/>
    <w:rsid w:val="009668CD"/>
    <w:rsid w:val="00966A3E"/>
    <w:rsid w:val="00966E6F"/>
    <w:rsid w:val="00966E9F"/>
    <w:rsid w:val="009671EC"/>
    <w:rsid w:val="00967377"/>
    <w:rsid w:val="009677F1"/>
    <w:rsid w:val="0097069B"/>
    <w:rsid w:val="00970A6E"/>
    <w:rsid w:val="00970C67"/>
    <w:rsid w:val="00970F92"/>
    <w:rsid w:val="00971E56"/>
    <w:rsid w:val="00972491"/>
    <w:rsid w:val="00972C2C"/>
    <w:rsid w:val="00973815"/>
    <w:rsid w:val="00973B4E"/>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B42"/>
    <w:rsid w:val="00A02FEC"/>
    <w:rsid w:val="00A034F3"/>
    <w:rsid w:val="00A0377F"/>
    <w:rsid w:val="00A03F44"/>
    <w:rsid w:val="00A04300"/>
    <w:rsid w:val="00A04EB9"/>
    <w:rsid w:val="00A04F56"/>
    <w:rsid w:val="00A057C0"/>
    <w:rsid w:val="00A06631"/>
    <w:rsid w:val="00A07032"/>
    <w:rsid w:val="00A0715A"/>
    <w:rsid w:val="00A0736F"/>
    <w:rsid w:val="00A0747F"/>
    <w:rsid w:val="00A07617"/>
    <w:rsid w:val="00A07BFA"/>
    <w:rsid w:val="00A101D9"/>
    <w:rsid w:val="00A107D7"/>
    <w:rsid w:val="00A10AA1"/>
    <w:rsid w:val="00A10B1E"/>
    <w:rsid w:val="00A12EC7"/>
    <w:rsid w:val="00A135D7"/>
    <w:rsid w:val="00A138CA"/>
    <w:rsid w:val="00A14471"/>
    <w:rsid w:val="00A14C71"/>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D1A"/>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688"/>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5C88"/>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86F"/>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DE"/>
    <w:rsid w:val="00B132F8"/>
    <w:rsid w:val="00B13327"/>
    <w:rsid w:val="00B1352A"/>
    <w:rsid w:val="00B13694"/>
    <w:rsid w:val="00B13C11"/>
    <w:rsid w:val="00B147F8"/>
    <w:rsid w:val="00B149C7"/>
    <w:rsid w:val="00B14EEE"/>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B2F"/>
    <w:rsid w:val="00B534CA"/>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0DC1"/>
    <w:rsid w:val="00B71243"/>
    <w:rsid w:val="00B71DB8"/>
    <w:rsid w:val="00B71FF7"/>
    <w:rsid w:val="00B72231"/>
    <w:rsid w:val="00B73CF7"/>
    <w:rsid w:val="00B74A1C"/>
    <w:rsid w:val="00B74E16"/>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5C65"/>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B85"/>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7E0"/>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37B"/>
    <w:rsid w:val="00C64CDB"/>
    <w:rsid w:val="00C65124"/>
    <w:rsid w:val="00C651ED"/>
    <w:rsid w:val="00C653CE"/>
    <w:rsid w:val="00C65CB1"/>
    <w:rsid w:val="00C65CE3"/>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AEC"/>
    <w:rsid w:val="00C76CAE"/>
    <w:rsid w:val="00C80043"/>
    <w:rsid w:val="00C80D30"/>
    <w:rsid w:val="00C814A1"/>
    <w:rsid w:val="00C82193"/>
    <w:rsid w:val="00C82365"/>
    <w:rsid w:val="00C832D0"/>
    <w:rsid w:val="00C83407"/>
    <w:rsid w:val="00C84225"/>
    <w:rsid w:val="00C84369"/>
    <w:rsid w:val="00C844D7"/>
    <w:rsid w:val="00C84A2D"/>
    <w:rsid w:val="00C84FD8"/>
    <w:rsid w:val="00C85307"/>
    <w:rsid w:val="00C85A7B"/>
    <w:rsid w:val="00C85AA9"/>
    <w:rsid w:val="00C85B8A"/>
    <w:rsid w:val="00C85FB6"/>
    <w:rsid w:val="00C869DE"/>
    <w:rsid w:val="00C86AF8"/>
    <w:rsid w:val="00C8704A"/>
    <w:rsid w:val="00C87354"/>
    <w:rsid w:val="00C9086B"/>
    <w:rsid w:val="00C90C5C"/>
    <w:rsid w:val="00C93CE6"/>
    <w:rsid w:val="00C93D05"/>
    <w:rsid w:val="00C94287"/>
    <w:rsid w:val="00C944C5"/>
    <w:rsid w:val="00C95315"/>
    <w:rsid w:val="00C96424"/>
    <w:rsid w:val="00C96FEB"/>
    <w:rsid w:val="00C975A0"/>
    <w:rsid w:val="00C97D4D"/>
    <w:rsid w:val="00CA0052"/>
    <w:rsid w:val="00CA00D9"/>
    <w:rsid w:val="00CA0196"/>
    <w:rsid w:val="00CA0708"/>
    <w:rsid w:val="00CA0D10"/>
    <w:rsid w:val="00CA1A39"/>
    <w:rsid w:val="00CA1C22"/>
    <w:rsid w:val="00CA1E47"/>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399"/>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794"/>
    <w:rsid w:val="00CD7EF9"/>
    <w:rsid w:val="00CE01EA"/>
    <w:rsid w:val="00CE09B8"/>
    <w:rsid w:val="00CE09DA"/>
    <w:rsid w:val="00CE0A39"/>
    <w:rsid w:val="00CE0A78"/>
    <w:rsid w:val="00CE0D75"/>
    <w:rsid w:val="00CE1AD1"/>
    <w:rsid w:val="00CE338F"/>
    <w:rsid w:val="00CE3F31"/>
    <w:rsid w:val="00CE43E3"/>
    <w:rsid w:val="00CE5278"/>
    <w:rsid w:val="00CE56D8"/>
    <w:rsid w:val="00CE56E9"/>
    <w:rsid w:val="00CE60DA"/>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48FF"/>
    <w:rsid w:val="00D05592"/>
    <w:rsid w:val="00D05648"/>
    <w:rsid w:val="00D057E3"/>
    <w:rsid w:val="00D05E50"/>
    <w:rsid w:val="00D0729B"/>
    <w:rsid w:val="00D07389"/>
    <w:rsid w:val="00D1010B"/>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6979"/>
    <w:rsid w:val="00D47137"/>
    <w:rsid w:val="00D47309"/>
    <w:rsid w:val="00D47345"/>
    <w:rsid w:val="00D47475"/>
    <w:rsid w:val="00D47B20"/>
    <w:rsid w:val="00D50D45"/>
    <w:rsid w:val="00D51AE7"/>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19B9"/>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970"/>
    <w:rsid w:val="00DD3A8E"/>
    <w:rsid w:val="00DD4844"/>
    <w:rsid w:val="00DD5426"/>
    <w:rsid w:val="00DD61AC"/>
    <w:rsid w:val="00DD708C"/>
    <w:rsid w:val="00DD7BC6"/>
    <w:rsid w:val="00DD7E2D"/>
    <w:rsid w:val="00DD7E87"/>
    <w:rsid w:val="00DE06F5"/>
    <w:rsid w:val="00DE0C7F"/>
    <w:rsid w:val="00DE0DA1"/>
    <w:rsid w:val="00DE0FD4"/>
    <w:rsid w:val="00DE1A7D"/>
    <w:rsid w:val="00DE1AC2"/>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32E2"/>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2C63"/>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02C"/>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17C"/>
    <w:rsid w:val="00E857FC"/>
    <w:rsid w:val="00E8593A"/>
    <w:rsid w:val="00E86ED1"/>
    <w:rsid w:val="00E87122"/>
    <w:rsid w:val="00E8736F"/>
    <w:rsid w:val="00E878CA"/>
    <w:rsid w:val="00E90972"/>
    <w:rsid w:val="00E90E7A"/>
    <w:rsid w:val="00E914A7"/>
    <w:rsid w:val="00E91656"/>
    <w:rsid w:val="00E91B3B"/>
    <w:rsid w:val="00E91D1F"/>
    <w:rsid w:val="00E92164"/>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6C6"/>
    <w:rsid w:val="00EA7A50"/>
    <w:rsid w:val="00EB0375"/>
    <w:rsid w:val="00EB1A3A"/>
    <w:rsid w:val="00EB1CAA"/>
    <w:rsid w:val="00EB36D5"/>
    <w:rsid w:val="00EB3F6A"/>
    <w:rsid w:val="00EB4F57"/>
    <w:rsid w:val="00EB578E"/>
    <w:rsid w:val="00EB5877"/>
    <w:rsid w:val="00EB5EAC"/>
    <w:rsid w:val="00EB6F64"/>
    <w:rsid w:val="00EB72B0"/>
    <w:rsid w:val="00EB7F27"/>
    <w:rsid w:val="00EB7F5E"/>
    <w:rsid w:val="00EC0C96"/>
    <w:rsid w:val="00EC0F05"/>
    <w:rsid w:val="00EC1274"/>
    <w:rsid w:val="00EC138D"/>
    <w:rsid w:val="00EC16AB"/>
    <w:rsid w:val="00EC18FB"/>
    <w:rsid w:val="00EC1B5B"/>
    <w:rsid w:val="00EC35A5"/>
    <w:rsid w:val="00EC4AD9"/>
    <w:rsid w:val="00EC4B9F"/>
    <w:rsid w:val="00EC4DD9"/>
    <w:rsid w:val="00EC4E3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633"/>
    <w:rsid w:val="00F26819"/>
    <w:rsid w:val="00F26EDB"/>
    <w:rsid w:val="00F2709A"/>
    <w:rsid w:val="00F2777C"/>
    <w:rsid w:val="00F279F7"/>
    <w:rsid w:val="00F27C11"/>
    <w:rsid w:val="00F27C6A"/>
    <w:rsid w:val="00F27E41"/>
    <w:rsid w:val="00F30677"/>
    <w:rsid w:val="00F3095C"/>
    <w:rsid w:val="00F317F4"/>
    <w:rsid w:val="00F3221D"/>
    <w:rsid w:val="00F32B3A"/>
    <w:rsid w:val="00F32DA8"/>
    <w:rsid w:val="00F32E09"/>
    <w:rsid w:val="00F33C4F"/>
    <w:rsid w:val="00F34701"/>
    <w:rsid w:val="00F34DA7"/>
    <w:rsid w:val="00F34F2A"/>
    <w:rsid w:val="00F36F85"/>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1B65"/>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9E4"/>
    <w:rsid w:val="00FA4AE2"/>
    <w:rsid w:val="00FA547E"/>
    <w:rsid w:val="00FA58CB"/>
    <w:rsid w:val="00FA5B12"/>
    <w:rsid w:val="00FA6024"/>
    <w:rsid w:val="00FA67B7"/>
    <w:rsid w:val="00FA7691"/>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67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215"/>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FE6815E-CB93-4B34-A4D6-A4BF00B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54753864">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11</Pages>
  <Words>5014</Words>
  <Characters>28584</Characters>
  <Application>Microsoft Office Word</Application>
  <DocSecurity>0</DocSecurity>
  <Lines>238</Lines>
  <Paragraphs>67</Paragraphs>
  <ScaleCrop>false</ScaleCrop>
  <Company>ETSI Sophia Antipolis</Company>
  <LinksUpToDate>false</LinksUpToDate>
  <CharactersWithSpaces>33531</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191</cp:revision>
  <cp:lastPrinted>2024-10-03T17:16:00Z</cp:lastPrinted>
  <dcterms:created xsi:type="dcterms:W3CDTF">2024-05-10T22:25:00Z</dcterms:created>
  <dcterms:modified xsi:type="dcterms:W3CDTF">2024-11-08T13:38:00Z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